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9B96B" w14:textId="104EDA38" w:rsidR="00895F94" w:rsidRPr="00EF301C" w:rsidRDefault="00895F94" w:rsidP="00895F94">
      <w:pPr>
        <w:jc w:val="center"/>
        <w:rPr>
          <w:b/>
          <w:sz w:val="40"/>
          <w:szCs w:val="40"/>
        </w:rPr>
      </w:pPr>
      <w:r w:rsidRPr="00EF301C">
        <w:rPr>
          <w:b/>
          <w:sz w:val="40"/>
          <w:szCs w:val="40"/>
        </w:rPr>
        <w:t>TRI-COUNTY REGIONAL PLANNING COMMISSION</w:t>
      </w:r>
    </w:p>
    <w:p w14:paraId="627AFF95" w14:textId="77777777" w:rsidR="00895F94" w:rsidRPr="00E8199B" w:rsidRDefault="00895F94" w:rsidP="00895F94">
      <w:pPr>
        <w:jc w:val="center"/>
        <w:rPr>
          <w:b/>
          <w:sz w:val="28"/>
          <w:szCs w:val="28"/>
        </w:rPr>
      </w:pPr>
    </w:p>
    <w:p w14:paraId="23ABDC6F" w14:textId="77777777" w:rsidR="00895F94" w:rsidRPr="00E8199B" w:rsidRDefault="00895F94" w:rsidP="00895F94">
      <w:pPr>
        <w:jc w:val="center"/>
        <w:rPr>
          <w:b/>
          <w:sz w:val="28"/>
          <w:szCs w:val="28"/>
        </w:rPr>
      </w:pPr>
      <w:r w:rsidRPr="00E8199B">
        <w:rPr>
          <w:b/>
          <w:sz w:val="28"/>
          <w:szCs w:val="28"/>
        </w:rPr>
        <w:t xml:space="preserve">Request for </w:t>
      </w:r>
      <w:r w:rsidR="00910D0F" w:rsidRPr="00E8199B">
        <w:rPr>
          <w:b/>
          <w:sz w:val="28"/>
          <w:szCs w:val="28"/>
        </w:rPr>
        <w:t>Proposals</w:t>
      </w:r>
    </w:p>
    <w:p w14:paraId="5A2000DD" w14:textId="5FDE6F16" w:rsidR="00895F94" w:rsidRPr="00E8199B" w:rsidRDefault="00895F94" w:rsidP="00895F94">
      <w:pPr>
        <w:jc w:val="center"/>
        <w:rPr>
          <w:b/>
          <w:sz w:val="28"/>
          <w:szCs w:val="28"/>
        </w:rPr>
      </w:pPr>
      <w:r w:rsidRPr="00E8199B">
        <w:rPr>
          <w:b/>
          <w:sz w:val="28"/>
          <w:szCs w:val="28"/>
        </w:rPr>
        <w:t>Audit Services</w:t>
      </w:r>
    </w:p>
    <w:p w14:paraId="18CDFF78" w14:textId="77777777" w:rsidR="00895F94" w:rsidRPr="00E8199B" w:rsidRDefault="00895F94" w:rsidP="00895F94">
      <w:pPr>
        <w:jc w:val="center"/>
        <w:rPr>
          <w:b/>
          <w:sz w:val="28"/>
          <w:szCs w:val="28"/>
        </w:rPr>
      </w:pPr>
    </w:p>
    <w:p w14:paraId="31CE68A0" w14:textId="77777777" w:rsidR="00895F94" w:rsidRPr="0033075D" w:rsidRDefault="00895F94" w:rsidP="00895F94">
      <w:pPr>
        <w:jc w:val="center"/>
        <w:rPr>
          <w:b/>
          <w:sz w:val="28"/>
          <w:szCs w:val="28"/>
        </w:rPr>
      </w:pPr>
      <w:r w:rsidRPr="0033075D">
        <w:rPr>
          <w:b/>
          <w:sz w:val="28"/>
          <w:szCs w:val="28"/>
        </w:rPr>
        <w:t>For the Period</w:t>
      </w:r>
    </w:p>
    <w:p w14:paraId="56908748" w14:textId="09B2EC7A" w:rsidR="00895F94" w:rsidRDefault="008E5037" w:rsidP="00895F94">
      <w:pPr>
        <w:jc w:val="center"/>
        <w:rPr>
          <w:b/>
          <w:sz w:val="28"/>
          <w:szCs w:val="28"/>
        </w:rPr>
      </w:pPr>
      <w:r w:rsidRPr="0033075D">
        <w:rPr>
          <w:b/>
          <w:sz w:val="28"/>
          <w:szCs w:val="28"/>
        </w:rPr>
        <w:t xml:space="preserve">July 1, </w:t>
      </w:r>
      <w:r w:rsidR="00EE1443" w:rsidRPr="0033075D">
        <w:rPr>
          <w:b/>
          <w:sz w:val="28"/>
          <w:szCs w:val="28"/>
        </w:rPr>
        <w:t>20</w:t>
      </w:r>
      <w:r w:rsidR="00115EC0" w:rsidRPr="0033075D">
        <w:rPr>
          <w:b/>
          <w:sz w:val="28"/>
          <w:szCs w:val="28"/>
        </w:rPr>
        <w:t>25</w:t>
      </w:r>
      <w:r w:rsidR="00895F94" w:rsidRPr="0033075D">
        <w:rPr>
          <w:b/>
          <w:sz w:val="28"/>
          <w:szCs w:val="28"/>
        </w:rPr>
        <w:t xml:space="preserve">– June 30, </w:t>
      </w:r>
      <w:r w:rsidR="00EE1443" w:rsidRPr="0033075D">
        <w:rPr>
          <w:b/>
          <w:sz w:val="28"/>
          <w:szCs w:val="28"/>
        </w:rPr>
        <w:t>20</w:t>
      </w:r>
      <w:r w:rsidR="001D39AB">
        <w:rPr>
          <w:b/>
          <w:sz w:val="28"/>
          <w:szCs w:val="28"/>
        </w:rPr>
        <w:t>30</w:t>
      </w:r>
    </w:p>
    <w:p w14:paraId="60C84712" w14:textId="77777777" w:rsidR="00282860" w:rsidRPr="0033075D" w:rsidRDefault="00282860" w:rsidP="00895F94">
      <w:pPr>
        <w:jc w:val="center"/>
        <w:rPr>
          <w:b/>
          <w:sz w:val="28"/>
          <w:szCs w:val="28"/>
        </w:rPr>
      </w:pPr>
    </w:p>
    <w:p w14:paraId="01A2C81A" w14:textId="41E4F8D4" w:rsidR="00895F94" w:rsidRDefault="00EF301C" w:rsidP="00895F94">
      <w:pPr>
        <w:jc w:val="center"/>
        <w:rPr>
          <w:b/>
          <w:sz w:val="28"/>
          <w:szCs w:val="28"/>
        </w:rPr>
      </w:pPr>
      <w:r>
        <w:rPr>
          <w:b/>
          <w:sz w:val="28"/>
          <w:szCs w:val="28"/>
        </w:rPr>
        <w:t>Procurement # 2025-09</w:t>
      </w:r>
    </w:p>
    <w:p w14:paraId="6BD7E8A8" w14:textId="2A5D80C7" w:rsidR="00EF301C" w:rsidRDefault="00EF301C" w:rsidP="00895F94">
      <w:pPr>
        <w:jc w:val="center"/>
        <w:rPr>
          <w:b/>
          <w:sz w:val="28"/>
          <w:szCs w:val="28"/>
        </w:rPr>
      </w:pPr>
      <w:r>
        <w:rPr>
          <w:b/>
          <w:sz w:val="28"/>
          <w:szCs w:val="28"/>
        </w:rPr>
        <w:t>Issued Date: Wednesday, January 29, 2025</w:t>
      </w:r>
    </w:p>
    <w:p w14:paraId="190F9105" w14:textId="3D386673" w:rsidR="00EF301C" w:rsidRPr="00E8199B" w:rsidRDefault="00EF301C" w:rsidP="00895F94">
      <w:pPr>
        <w:jc w:val="center"/>
        <w:rPr>
          <w:b/>
          <w:sz w:val="28"/>
          <w:szCs w:val="28"/>
        </w:rPr>
      </w:pPr>
      <w:r>
        <w:rPr>
          <w:b/>
          <w:sz w:val="28"/>
          <w:szCs w:val="28"/>
        </w:rPr>
        <w:t>Question Deadline:  Wednesday February 19, 2025</w:t>
      </w:r>
    </w:p>
    <w:p w14:paraId="5CE332FC" w14:textId="443138A6" w:rsidR="00895F94" w:rsidRPr="00282860" w:rsidRDefault="00282860" w:rsidP="00895F94">
      <w:pPr>
        <w:jc w:val="center"/>
        <w:rPr>
          <w:b/>
          <w:i/>
          <w:iCs/>
          <w:sz w:val="28"/>
          <w:szCs w:val="28"/>
        </w:rPr>
      </w:pPr>
      <w:r w:rsidRPr="00282860">
        <w:rPr>
          <w:b/>
          <w:i/>
          <w:iCs/>
          <w:sz w:val="28"/>
          <w:szCs w:val="28"/>
        </w:rPr>
        <w:t>PROPOSAL DUE MARCH 12, 2025 by 4:30 p.m.</w:t>
      </w:r>
    </w:p>
    <w:p w14:paraId="1327C777" w14:textId="77777777" w:rsidR="00895F94" w:rsidRPr="00E8199B" w:rsidRDefault="00895F94" w:rsidP="00895F94">
      <w:pPr>
        <w:jc w:val="center"/>
        <w:rPr>
          <w:b/>
          <w:sz w:val="28"/>
          <w:szCs w:val="28"/>
        </w:rPr>
      </w:pPr>
    </w:p>
    <w:p w14:paraId="601F66B5" w14:textId="01857C66" w:rsidR="00895F94" w:rsidRPr="00E8199B" w:rsidRDefault="00895F94" w:rsidP="00895F94">
      <w:pPr>
        <w:jc w:val="center"/>
        <w:rPr>
          <w:b/>
          <w:sz w:val="28"/>
          <w:szCs w:val="28"/>
        </w:rPr>
      </w:pPr>
      <w:r w:rsidRPr="00E8199B">
        <w:rPr>
          <w:b/>
          <w:sz w:val="28"/>
          <w:szCs w:val="28"/>
        </w:rPr>
        <w:t>Proposals should be directed to:</w:t>
      </w:r>
    </w:p>
    <w:p w14:paraId="2FB41216" w14:textId="77777777" w:rsidR="00895F94" w:rsidRPr="00E8199B" w:rsidRDefault="00895F94" w:rsidP="00895F94">
      <w:pPr>
        <w:jc w:val="center"/>
        <w:rPr>
          <w:b/>
          <w:sz w:val="28"/>
          <w:szCs w:val="28"/>
        </w:rPr>
      </w:pPr>
    </w:p>
    <w:p w14:paraId="2A2691C9" w14:textId="1E793748" w:rsidR="00895F94" w:rsidRPr="00E8199B" w:rsidRDefault="00C10858" w:rsidP="00895F94">
      <w:pPr>
        <w:jc w:val="center"/>
        <w:rPr>
          <w:b/>
          <w:sz w:val="28"/>
          <w:szCs w:val="28"/>
        </w:rPr>
      </w:pPr>
      <w:r>
        <w:rPr>
          <w:b/>
          <w:sz w:val="28"/>
          <w:szCs w:val="28"/>
        </w:rPr>
        <w:t>Eric Miller</w:t>
      </w:r>
      <w:r w:rsidR="00996B7B">
        <w:rPr>
          <w:b/>
          <w:sz w:val="28"/>
          <w:szCs w:val="28"/>
        </w:rPr>
        <w:t>,</w:t>
      </w:r>
      <w:r>
        <w:rPr>
          <w:b/>
          <w:sz w:val="28"/>
          <w:szCs w:val="28"/>
        </w:rPr>
        <w:t xml:space="preserve"> </w:t>
      </w:r>
      <w:r w:rsidR="00EE1443">
        <w:rPr>
          <w:b/>
          <w:sz w:val="28"/>
          <w:szCs w:val="28"/>
        </w:rPr>
        <w:t>Executive Director</w:t>
      </w:r>
    </w:p>
    <w:p w14:paraId="24B3A3EA" w14:textId="77777777" w:rsidR="00895F94" w:rsidRPr="00E8199B" w:rsidRDefault="00895F94" w:rsidP="00895F94">
      <w:pPr>
        <w:jc w:val="center"/>
        <w:rPr>
          <w:b/>
          <w:sz w:val="28"/>
          <w:szCs w:val="28"/>
        </w:rPr>
      </w:pPr>
      <w:r w:rsidRPr="00E8199B">
        <w:rPr>
          <w:b/>
          <w:sz w:val="28"/>
          <w:szCs w:val="28"/>
        </w:rPr>
        <w:t>Tri-County Regional Planning Commission</w:t>
      </w:r>
    </w:p>
    <w:p w14:paraId="1AA3FDF5" w14:textId="77777777" w:rsidR="00895F94" w:rsidRPr="00E8199B" w:rsidRDefault="00EE1443" w:rsidP="00895F94">
      <w:pPr>
        <w:jc w:val="center"/>
        <w:rPr>
          <w:b/>
          <w:sz w:val="28"/>
          <w:szCs w:val="28"/>
        </w:rPr>
      </w:pPr>
      <w:r>
        <w:rPr>
          <w:b/>
          <w:sz w:val="28"/>
          <w:szCs w:val="28"/>
        </w:rPr>
        <w:t>456 Fulton Street</w:t>
      </w:r>
      <w:r w:rsidR="00895F94" w:rsidRPr="00E8199B">
        <w:rPr>
          <w:b/>
          <w:sz w:val="28"/>
          <w:szCs w:val="28"/>
        </w:rPr>
        <w:t xml:space="preserve">, Suite </w:t>
      </w:r>
      <w:r>
        <w:rPr>
          <w:b/>
          <w:sz w:val="28"/>
          <w:szCs w:val="28"/>
        </w:rPr>
        <w:t>401</w:t>
      </w:r>
    </w:p>
    <w:p w14:paraId="20527174" w14:textId="77777777" w:rsidR="00895F94" w:rsidRPr="00E8199B" w:rsidRDefault="00895F94" w:rsidP="00895F94">
      <w:pPr>
        <w:jc w:val="center"/>
        <w:rPr>
          <w:b/>
          <w:sz w:val="28"/>
          <w:szCs w:val="28"/>
        </w:rPr>
      </w:pPr>
      <w:smartTag w:uri="urn:schemas-microsoft-com:office:smarttags" w:element="place">
        <w:smartTag w:uri="urn:schemas-microsoft-com:office:smarttags" w:element="City">
          <w:r w:rsidRPr="00E8199B">
            <w:rPr>
              <w:b/>
              <w:sz w:val="28"/>
              <w:szCs w:val="28"/>
            </w:rPr>
            <w:t>Peoria</w:t>
          </w:r>
        </w:smartTag>
        <w:r w:rsidRPr="00E8199B">
          <w:rPr>
            <w:b/>
            <w:sz w:val="28"/>
            <w:szCs w:val="28"/>
          </w:rPr>
          <w:t xml:space="preserve"> </w:t>
        </w:r>
        <w:smartTag w:uri="urn:schemas-microsoft-com:office:smarttags" w:element="State">
          <w:r w:rsidRPr="00E8199B">
            <w:rPr>
              <w:b/>
              <w:sz w:val="28"/>
              <w:szCs w:val="28"/>
            </w:rPr>
            <w:t>Illinois</w:t>
          </w:r>
        </w:smartTag>
        <w:r w:rsidRPr="00E8199B">
          <w:rPr>
            <w:b/>
            <w:sz w:val="28"/>
            <w:szCs w:val="28"/>
          </w:rPr>
          <w:t xml:space="preserve"> </w:t>
        </w:r>
        <w:smartTag w:uri="urn:schemas-microsoft-com:office:smarttags" w:element="PostalCode">
          <w:r w:rsidRPr="00E8199B">
            <w:rPr>
              <w:b/>
              <w:sz w:val="28"/>
              <w:szCs w:val="28"/>
            </w:rPr>
            <w:t>61602</w:t>
          </w:r>
        </w:smartTag>
      </w:smartTag>
    </w:p>
    <w:p w14:paraId="15D733A1" w14:textId="77777777" w:rsidR="00895F94" w:rsidRDefault="00895F94" w:rsidP="00895F94">
      <w:pPr>
        <w:jc w:val="center"/>
        <w:rPr>
          <w:b/>
          <w:sz w:val="28"/>
          <w:szCs w:val="28"/>
        </w:rPr>
      </w:pPr>
      <w:r w:rsidRPr="00E8199B">
        <w:rPr>
          <w:b/>
          <w:sz w:val="28"/>
          <w:szCs w:val="28"/>
        </w:rPr>
        <w:t>309-673-9330</w:t>
      </w:r>
    </w:p>
    <w:p w14:paraId="48D739AE" w14:textId="77777777" w:rsidR="00EF301C" w:rsidRDefault="00EF301C" w:rsidP="00895F94">
      <w:pPr>
        <w:jc w:val="center"/>
        <w:rPr>
          <w:b/>
          <w:sz w:val="28"/>
          <w:szCs w:val="28"/>
        </w:rPr>
      </w:pPr>
    </w:p>
    <w:p w14:paraId="5F58AC35" w14:textId="77777777" w:rsidR="00EF301C" w:rsidRDefault="00EF301C" w:rsidP="00895F94">
      <w:pPr>
        <w:jc w:val="center"/>
        <w:rPr>
          <w:b/>
          <w:sz w:val="28"/>
          <w:szCs w:val="28"/>
        </w:rPr>
      </w:pPr>
    </w:p>
    <w:p w14:paraId="0DF57F31" w14:textId="77777777" w:rsidR="00EF301C" w:rsidRDefault="00EF301C" w:rsidP="00EF301C">
      <w:pPr>
        <w:jc w:val="center"/>
        <w:rPr>
          <w:b/>
          <w:bCs/>
        </w:rPr>
      </w:pPr>
      <w:r>
        <w:rPr>
          <w:b/>
          <w:bCs/>
        </w:rPr>
        <w:t>Notice of Procurement Opportunity</w:t>
      </w:r>
    </w:p>
    <w:p w14:paraId="1E1D30AD" w14:textId="77777777" w:rsidR="00EF301C" w:rsidRDefault="00EF301C" w:rsidP="00EF301C">
      <w:pPr>
        <w:rPr>
          <w:b/>
          <w:bCs/>
        </w:rPr>
      </w:pPr>
    </w:p>
    <w:p w14:paraId="60E12753" w14:textId="77777777" w:rsidR="00EF301C" w:rsidRPr="00BC60A2" w:rsidRDefault="00EF301C" w:rsidP="00EF301C">
      <w:r w:rsidRPr="00BC60A2">
        <w:rPr>
          <w:b/>
          <w:bCs/>
        </w:rPr>
        <w:t>NOTICE IS HEREBY GIVEN</w:t>
      </w:r>
      <w:r w:rsidRPr="00BC60A2">
        <w:t xml:space="preserve"> that the Tri-County Regional Planning Commission (TCRPC) seeks to collaborate with a qualified firm to provide professional services to conduct an </w:t>
      </w:r>
      <w:r>
        <w:t>annual audit of our Fiscal Years 2025-2030 (July 1-June 30).</w:t>
      </w:r>
    </w:p>
    <w:p w14:paraId="38AE8A1F" w14:textId="77777777" w:rsidR="00EF301C" w:rsidRPr="00BC60A2" w:rsidRDefault="00EF301C" w:rsidP="00EF301C"/>
    <w:p w14:paraId="1AF5A17A" w14:textId="203CAD2E" w:rsidR="00EF301C" w:rsidRPr="00BC60A2" w:rsidRDefault="00EF301C" w:rsidP="00EF301C">
      <w:r w:rsidRPr="00BC60A2">
        <w:t>Responses from interested and qualified firms to provide these services, as outlined in</w:t>
      </w:r>
      <w:r w:rsidRPr="00BC60A2">
        <w:rPr>
          <w:i/>
          <w:iCs/>
        </w:rPr>
        <w:t> </w:t>
      </w:r>
      <w:r w:rsidRPr="00BC60A2">
        <w:t xml:space="preserve">the Procurement Opportunity, are requested by TCRPC. The procurement opportunity is available on TCRPC’s website at https://tricountyrpc.org/rfp-rfq/. To submit questions regarding this opportunity, contact TCRPC staff in writing at </w:t>
      </w:r>
      <w:hyperlink r:id="rId8" w:history="1">
        <w:r w:rsidR="00B41B72" w:rsidRPr="00AE367A">
          <w:rPr>
            <w:rStyle w:val="Hyperlink"/>
          </w:rPr>
          <w:t>rfp-rfq@tricountyrpc.org</w:t>
        </w:r>
      </w:hyperlink>
      <w:r w:rsidRPr="00BC60A2">
        <w:t>.</w:t>
      </w:r>
      <w:r w:rsidR="00B41B72">
        <w:t xml:space="preserve">  Phone calls will not be accepted.</w:t>
      </w:r>
    </w:p>
    <w:p w14:paraId="5C409378" w14:textId="77777777" w:rsidR="00EF301C" w:rsidRPr="00BC60A2" w:rsidRDefault="00EF301C" w:rsidP="00EF301C"/>
    <w:p w14:paraId="34664DBE" w14:textId="7CBE7423" w:rsidR="00EF301C" w:rsidRPr="00BC60A2" w:rsidRDefault="00EF301C" w:rsidP="00EF301C">
      <w:r w:rsidRPr="00BC60A2">
        <w:t>Sealed submi</w:t>
      </w:r>
      <w:r w:rsidR="00B41B72">
        <w:t>ttal</w:t>
      </w:r>
      <w:r w:rsidRPr="00BC60A2">
        <w:t>s identified on the outside as</w:t>
      </w:r>
      <w:r w:rsidRPr="00BC60A2">
        <w:rPr>
          <w:i/>
          <w:iCs/>
        </w:rPr>
        <w:t> </w:t>
      </w:r>
      <w:r>
        <w:rPr>
          <w:i/>
          <w:iCs/>
        </w:rPr>
        <w:t>RFP - Auditing Services</w:t>
      </w:r>
      <w:r w:rsidRPr="00BC60A2">
        <w:t>, are due to the TCRPC office located at 456 Fulton Street, Suite 401, Peoria, Illinois 61602, </w:t>
      </w:r>
      <w:r w:rsidRPr="00BC60A2">
        <w:rPr>
          <w:u w:val="single"/>
        </w:rPr>
        <w:t xml:space="preserve">no later than </w:t>
      </w:r>
      <w:r w:rsidR="000E2727">
        <w:rPr>
          <w:u w:val="single"/>
        </w:rPr>
        <w:t>4:30 p.m.</w:t>
      </w:r>
      <w:r w:rsidRPr="00BC60A2">
        <w:rPr>
          <w:u w:val="single"/>
        </w:rPr>
        <w:t xml:space="preserve"> on </w:t>
      </w:r>
      <w:r>
        <w:rPr>
          <w:u w:val="single"/>
        </w:rPr>
        <w:t>Wednesday</w:t>
      </w:r>
      <w:r w:rsidRPr="00BC60A2">
        <w:rPr>
          <w:u w:val="single"/>
        </w:rPr>
        <w:t xml:space="preserve">, </w:t>
      </w:r>
      <w:r>
        <w:rPr>
          <w:u w:val="single"/>
        </w:rPr>
        <w:t>March 12</w:t>
      </w:r>
      <w:r w:rsidRPr="00BC60A2">
        <w:rPr>
          <w:u w:val="single"/>
        </w:rPr>
        <w:t>, 2025</w:t>
      </w:r>
      <w:r w:rsidRPr="00BC60A2">
        <w:t>. Submittals received after that date and time are NOT eligible for consideration by TCRPC. </w:t>
      </w:r>
      <w:r w:rsidR="00B41B72">
        <w:t>Submittals should include two hard copies and one digital copy.</w:t>
      </w:r>
    </w:p>
    <w:p w14:paraId="53C1421F" w14:textId="77777777" w:rsidR="00EF301C" w:rsidRPr="00BC60A2" w:rsidRDefault="00EF301C" w:rsidP="00EF301C"/>
    <w:p w14:paraId="38127FC5" w14:textId="77777777" w:rsidR="00EF301C" w:rsidRPr="00BC60A2" w:rsidRDefault="00EF301C" w:rsidP="00EF301C">
      <w:r w:rsidRPr="00BC60A2">
        <w:t>Tri-County reserves the right to reject any or all submissions, waive informality and irregularities in the submissions, and select the firm that is in the best interest of TCRPC and in compliance with the terms set forth herein. Tri-County is an Equal Opportunity Employer and invites Minority and Women-Owned Firms to submit.</w:t>
      </w:r>
    </w:p>
    <w:p w14:paraId="01B20939" w14:textId="77777777" w:rsidR="00EF301C" w:rsidRDefault="00EF301C" w:rsidP="00221F14">
      <w:pPr>
        <w:tabs>
          <w:tab w:val="left" w:pos="360"/>
        </w:tabs>
      </w:pPr>
    </w:p>
    <w:p w14:paraId="4FFE91E1" w14:textId="4051157C" w:rsidR="00895F94" w:rsidRDefault="00221F14" w:rsidP="00221F14">
      <w:pPr>
        <w:tabs>
          <w:tab w:val="left" w:pos="360"/>
        </w:tabs>
      </w:pPr>
      <w:r>
        <w:t>I.</w:t>
      </w:r>
      <w:r>
        <w:tab/>
        <w:t>General Information</w:t>
      </w:r>
    </w:p>
    <w:p w14:paraId="742F5607" w14:textId="77777777" w:rsidR="00221F14" w:rsidRDefault="00221F14" w:rsidP="00221F14">
      <w:pPr>
        <w:tabs>
          <w:tab w:val="left" w:pos="360"/>
        </w:tabs>
      </w:pPr>
    </w:p>
    <w:p w14:paraId="57043CF5" w14:textId="77777777" w:rsidR="00221F14" w:rsidRDefault="00221F14" w:rsidP="00221F14">
      <w:pPr>
        <w:tabs>
          <w:tab w:val="left" w:pos="360"/>
        </w:tabs>
      </w:pPr>
      <w:r>
        <w:tab/>
        <w:t>A.</w:t>
      </w:r>
      <w:r>
        <w:tab/>
        <w:t>Purpose</w:t>
      </w:r>
    </w:p>
    <w:p w14:paraId="58A36AEE" w14:textId="77777777" w:rsidR="00221F14" w:rsidRDefault="00221F14" w:rsidP="00221F14">
      <w:pPr>
        <w:tabs>
          <w:tab w:val="left" w:pos="360"/>
        </w:tabs>
      </w:pPr>
    </w:p>
    <w:p w14:paraId="104A03D5" w14:textId="1094F1BB" w:rsidR="00221F14" w:rsidRDefault="00221F14" w:rsidP="00221F14">
      <w:pPr>
        <w:tabs>
          <w:tab w:val="left" w:pos="360"/>
        </w:tabs>
        <w:ind w:left="720" w:hanging="720"/>
      </w:pPr>
      <w:r>
        <w:tab/>
      </w:r>
      <w:r>
        <w:tab/>
        <w:t>This Request for Proposal (RFP) is to contract for a</w:t>
      </w:r>
      <w:r w:rsidR="001D39AB">
        <w:t>n annual</w:t>
      </w:r>
      <w:r>
        <w:t xml:space="preserve"> financial and compliance audit for the </w:t>
      </w:r>
      <w:r w:rsidR="001D39AB">
        <w:t xml:space="preserve">Fiscal Years dated </w:t>
      </w:r>
      <w:r w:rsidRPr="0033075D">
        <w:t xml:space="preserve">June 30, </w:t>
      </w:r>
      <w:r w:rsidR="00404DF0" w:rsidRPr="0033075D">
        <w:t>20</w:t>
      </w:r>
      <w:r w:rsidR="00115EC0" w:rsidRPr="0033075D">
        <w:t>2</w:t>
      </w:r>
      <w:r w:rsidR="0092489B" w:rsidRPr="0033075D">
        <w:t>5</w:t>
      </w:r>
      <w:r w:rsidR="001D39AB">
        <w:t xml:space="preserve"> – July 1, 2030</w:t>
      </w:r>
      <w:r w:rsidRPr="0033075D">
        <w:t xml:space="preserve">.  </w:t>
      </w:r>
      <w:r w:rsidRPr="00282860">
        <w:t xml:space="preserve">The proposal includes </w:t>
      </w:r>
      <w:r w:rsidR="007E0572" w:rsidRPr="00282860">
        <w:t xml:space="preserve">two one-year </w:t>
      </w:r>
      <w:r w:rsidRPr="00282860">
        <w:t xml:space="preserve">options for </w:t>
      </w:r>
      <w:r w:rsidR="007E0572" w:rsidRPr="00282860">
        <w:t>Tri-County Regional Planning Commissio</w:t>
      </w:r>
      <w:r w:rsidR="007E0572">
        <w:t xml:space="preserve">n to extend the contract on the terms described herein. </w:t>
      </w:r>
      <w:r w:rsidR="00DD6312">
        <w:t>Offerors may review the Commission’s accounting systems and reports by making an appointment to meet with the Staff.</w:t>
      </w:r>
      <w:r w:rsidR="007E0572">
        <w:t xml:space="preserve"> </w:t>
      </w:r>
    </w:p>
    <w:p w14:paraId="0281ADEB" w14:textId="77777777" w:rsidR="00221F14" w:rsidRDefault="00221F14" w:rsidP="00221F14">
      <w:pPr>
        <w:tabs>
          <w:tab w:val="left" w:pos="360"/>
        </w:tabs>
        <w:ind w:left="720" w:hanging="720"/>
      </w:pPr>
    </w:p>
    <w:p w14:paraId="43F9B1F0" w14:textId="77777777" w:rsidR="00221F14" w:rsidRDefault="00221F14" w:rsidP="00221F14">
      <w:pPr>
        <w:tabs>
          <w:tab w:val="left" w:pos="360"/>
        </w:tabs>
        <w:ind w:left="720" w:hanging="720"/>
      </w:pPr>
      <w:r>
        <w:tab/>
        <w:t>B.</w:t>
      </w:r>
      <w:r>
        <w:tab/>
        <w:t>Who May Respond</w:t>
      </w:r>
    </w:p>
    <w:p w14:paraId="5D2C2C6A" w14:textId="77777777" w:rsidR="00221F14" w:rsidRDefault="00221F14" w:rsidP="00221F14">
      <w:pPr>
        <w:tabs>
          <w:tab w:val="left" w:pos="360"/>
        </w:tabs>
        <w:ind w:left="720" w:hanging="720"/>
      </w:pPr>
    </w:p>
    <w:p w14:paraId="02B0C264" w14:textId="2C18F3B0" w:rsidR="00221F14" w:rsidRDefault="00221F14" w:rsidP="00221F14">
      <w:pPr>
        <w:tabs>
          <w:tab w:val="left" w:pos="360"/>
        </w:tabs>
        <w:ind w:left="720" w:hanging="720"/>
      </w:pPr>
      <w:r>
        <w:tab/>
      </w:r>
      <w:r>
        <w:tab/>
        <w:t>Only licensed Certified Public Accountants</w:t>
      </w:r>
      <w:r w:rsidR="006559FA">
        <w:t xml:space="preserve"> with </w:t>
      </w:r>
      <w:r w:rsidR="00D04761">
        <w:t xml:space="preserve">Government Accounting Standards Board, Yellow Book certification </w:t>
      </w:r>
      <w:r w:rsidR="00D04761" w:rsidRPr="0033075D">
        <w:t xml:space="preserve">and </w:t>
      </w:r>
      <w:r w:rsidR="00115EC0" w:rsidRPr="0033075D">
        <w:t xml:space="preserve">experience with </w:t>
      </w:r>
      <w:r w:rsidR="00D04761">
        <w:t>examination of federally assisted programs</w:t>
      </w:r>
      <w:r>
        <w:t xml:space="preserve"> may respond to this RFP.</w:t>
      </w:r>
    </w:p>
    <w:p w14:paraId="521E2EAC" w14:textId="77777777" w:rsidR="00221F14" w:rsidRDefault="00221F14" w:rsidP="00221F14">
      <w:pPr>
        <w:tabs>
          <w:tab w:val="left" w:pos="360"/>
        </w:tabs>
        <w:ind w:left="720" w:hanging="720"/>
      </w:pPr>
    </w:p>
    <w:p w14:paraId="6AF16D1A" w14:textId="77777777" w:rsidR="00221F14" w:rsidRDefault="00221F14" w:rsidP="00221F14">
      <w:pPr>
        <w:tabs>
          <w:tab w:val="left" w:pos="360"/>
        </w:tabs>
        <w:ind w:left="720" w:hanging="720"/>
      </w:pPr>
      <w:r>
        <w:tab/>
        <w:t>C.</w:t>
      </w:r>
      <w:r>
        <w:tab/>
        <w:t>Instructions on Proposal Submission</w:t>
      </w:r>
    </w:p>
    <w:p w14:paraId="4AF36F83" w14:textId="77777777" w:rsidR="00221F14" w:rsidRDefault="00221F14" w:rsidP="00221F14">
      <w:pPr>
        <w:tabs>
          <w:tab w:val="left" w:pos="360"/>
        </w:tabs>
        <w:ind w:left="720" w:hanging="720"/>
      </w:pPr>
    </w:p>
    <w:p w14:paraId="7809D22C" w14:textId="70897ED7" w:rsidR="00221F14" w:rsidRDefault="00CD497F" w:rsidP="00CD497F">
      <w:pPr>
        <w:pStyle w:val="ListParagraph"/>
        <w:numPr>
          <w:ilvl w:val="0"/>
          <w:numId w:val="6"/>
        </w:numPr>
        <w:tabs>
          <w:tab w:val="left" w:pos="360"/>
          <w:tab w:val="left" w:pos="1080"/>
        </w:tabs>
      </w:pPr>
      <w:r>
        <w:t>Submitted proposals</w:t>
      </w:r>
      <w:r w:rsidR="00221F14">
        <w:t xml:space="preserve"> must be received no later than </w:t>
      </w:r>
      <w:smartTag w:uri="urn:schemas-microsoft-com:office:smarttags" w:element="time">
        <w:smartTagPr>
          <w:attr w:name="Minute" w:val="30"/>
          <w:attr w:name="Hour" w:val="16"/>
        </w:smartTagPr>
        <w:r w:rsidR="00221F14" w:rsidRPr="006B4F11">
          <w:t>4:30 p.m.</w:t>
        </w:r>
      </w:smartTag>
      <w:r w:rsidR="00221F14" w:rsidRPr="006B4F11">
        <w:t xml:space="preserve"> on </w:t>
      </w:r>
      <w:r w:rsidR="006B4F11">
        <w:t>March 1</w:t>
      </w:r>
      <w:r w:rsidR="009D02F9">
        <w:t>2</w:t>
      </w:r>
      <w:r w:rsidR="006B4F11" w:rsidRPr="0033075D">
        <w:t>, 20</w:t>
      </w:r>
      <w:r w:rsidR="00115EC0" w:rsidRPr="0033075D">
        <w:t>25</w:t>
      </w:r>
      <w:r>
        <w:t>, and must include two hard copies and one digital copy.</w:t>
      </w:r>
    </w:p>
    <w:p w14:paraId="2BD0DD2B" w14:textId="77777777" w:rsidR="00221F14" w:rsidRDefault="00221F14" w:rsidP="00221F14">
      <w:pPr>
        <w:tabs>
          <w:tab w:val="left" w:pos="360"/>
          <w:tab w:val="left" w:pos="1080"/>
        </w:tabs>
        <w:ind w:left="720" w:hanging="720"/>
      </w:pPr>
    </w:p>
    <w:p w14:paraId="4935DDE3" w14:textId="3FE23FC4" w:rsidR="00221F14" w:rsidRDefault="00221F14" w:rsidP="00221F14">
      <w:pPr>
        <w:tabs>
          <w:tab w:val="left" w:pos="360"/>
          <w:tab w:val="left" w:pos="1080"/>
        </w:tabs>
        <w:ind w:left="720" w:hanging="720"/>
      </w:pPr>
      <w:r>
        <w:tab/>
      </w:r>
      <w:r>
        <w:tab/>
        <w:t>2.</w:t>
      </w:r>
      <w:r>
        <w:tab/>
        <w:t xml:space="preserve">Inquiries concerning this RFP should be directed to </w:t>
      </w:r>
      <w:hyperlink r:id="rId9" w:history="1">
        <w:r w:rsidR="00652057" w:rsidRPr="00AE367A">
          <w:rPr>
            <w:rStyle w:val="Hyperlink"/>
          </w:rPr>
          <w:t>rfp-rfq@tricountyrpc.org</w:t>
        </w:r>
      </w:hyperlink>
      <w:r w:rsidR="00652057" w:rsidRPr="00BC60A2">
        <w:t>.</w:t>
      </w:r>
    </w:p>
    <w:p w14:paraId="237A1737" w14:textId="77777777" w:rsidR="00652057" w:rsidRDefault="00652057" w:rsidP="00221F14">
      <w:pPr>
        <w:tabs>
          <w:tab w:val="left" w:pos="360"/>
          <w:tab w:val="left" w:pos="1080"/>
        </w:tabs>
        <w:ind w:left="720" w:hanging="720"/>
      </w:pPr>
    </w:p>
    <w:p w14:paraId="328E28F4" w14:textId="77777777" w:rsidR="00221F14" w:rsidRDefault="00221F14" w:rsidP="00221F14">
      <w:pPr>
        <w:tabs>
          <w:tab w:val="left" w:pos="360"/>
          <w:tab w:val="left" w:pos="720"/>
          <w:tab w:val="left" w:pos="1080"/>
        </w:tabs>
        <w:ind w:left="1080" w:hanging="1080"/>
      </w:pPr>
      <w:r>
        <w:tab/>
      </w:r>
      <w:r>
        <w:tab/>
        <w:t>3.</w:t>
      </w:r>
      <w:r>
        <w:tab/>
        <w:t>All costs incurred in the preparation of a proposal responding to this RFP will be the responsibility of the Offeror and will not be reimbursed by Tri-County Regional Planning Commission.</w:t>
      </w:r>
    </w:p>
    <w:p w14:paraId="12C5EA2A" w14:textId="77777777" w:rsidR="00221F14" w:rsidRDefault="00221F14" w:rsidP="00221F14">
      <w:pPr>
        <w:tabs>
          <w:tab w:val="left" w:pos="360"/>
          <w:tab w:val="left" w:pos="1080"/>
        </w:tabs>
        <w:ind w:left="720" w:hanging="720"/>
      </w:pPr>
    </w:p>
    <w:p w14:paraId="4DB518B6" w14:textId="77777777" w:rsidR="00221F14" w:rsidRDefault="00221F14" w:rsidP="00221F14">
      <w:pPr>
        <w:tabs>
          <w:tab w:val="left" w:pos="360"/>
          <w:tab w:val="left" w:pos="1080"/>
        </w:tabs>
        <w:ind w:left="720" w:hanging="720"/>
      </w:pPr>
      <w:r>
        <w:tab/>
      </w:r>
      <w:r>
        <w:tab/>
        <w:t>4.</w:t>
      </w:r>
      <w:r>
        <w:tab/>
      </w:r>
      <w:r w:rsidR="00EC27F8">
        <w:t>Proposals should be addressed as follows:</w:t>
      </w:r>
    </w:p>
    <w:p w14:paraId="3781D496" w14:textId="77777777" w:rsidR="00EC27F8" w:rsidRDefault="00EC27F8" w:rsidP="00221F14">
      <w:pPr>
        <w:tabs>
          <w:tab w:val="left" w:pos="360"/>
          <w:tab w:val="left" w:pos="1080"/>
        </w:tabs>
        <w:ind w:left="720" w:hanging="720"/>
      </w:pPr>
    </w:p>
    <w:p w14:paraId="0AC54980" w14:textId="4D622E01" w:rsidR="00EC27F8" w:rsidRDefault="00C10858" w:rsidP="00221F14">
      <w:pPr>
        <w:tabs>
          <w:tab w:val="left" w:pos="360"/>
          <w:tab w:val="left" w:pos="1080"/>
        </w:tabs>
        <w:ind w:left="720" w:hanging="720"/>
      </w:pPr>
      <w:r>
        <w:tab/>
      </w:r>
      <w:r>
        <w:tab/>
      </w:r>
      <w:r>
        <w:tab/>
      </w:r>
      <w:r>
        <w:tab/>
        <w:t>Eric Miller</w:t>
      </w:r>
      <w:r w:rsidR="00C53D7E">
        <w:t>,</w:t>
      </w:r>
      <w:r>
        <w:t xml:space="preserve"> </w:t>
      </w:r>
      <w:r w:rsidR="00404DF0">
        <w:t>Executive Director</w:t>
      </w:r>
    </w:p>
    <w:p w14:paraId="4DA16028" w14:textId="77777777" w:rsidR="00EC27F8" w:rsidRDefault="00EC27F8" w:rsidP="00221F14">
      <w:pPr>
        <w:tabs>
          <w:tab w:val="left" w:pos="360"/>
          <w:tab w:val="left" w:pos="1080"/>
        </w:tabs>
        <w:ind w:left="720" w:hanging="720"/>
      </w:pPr>
      <w:r>
        <w:tab/>
      </w:r>
      <w:r>
        <w:tab/>
      </w:r>
      <w:r>
        <w:tab/>
      </w:r>
      <w:r>
        <w:tab/>
        <w:t>Tri-County Regional Planning Commission</w:t>
      </w:r>
    </w:p>
    <w:p w14:paraId="42F2C243" w14:textId="77777777" w:rsidR="00EC27F8" w:rsidRDefault="00EC27F8" w:rsidP="00221F14">
      <w:pPr>
        <w:tabs>
          <w:tab w:val="left" w:pos="360"/>
          <w:tab w:val="left" w:pos="1080"/>
        </w:tabs>
        <w:ind w:left="720" w:hanging="720"/>
      </w:pPr>
      <w:r>
        <w:tab/>
      </w:r>
      <w:r>
        <w:tab/>
      </w:r>
      <w:r>
        <w:tab/>
      </w:r>
      <w:r>
        <w:tab/>
      </w:r>
      <w:r w:rsidR="00404DF0">
        <w:t>456 Fulton Street</w:t>
      </w:r>
      <w:r w:rsidR="008E5037">
        <w:t xml:space="preserve">, Suite </w:t>
      </w:r>
      <w:r w:rsidR="00404DF0">
        <w:t>401</w:t>
      </w:r>
    </w:p>
    <w:p w14:paraId="7613551C" w14:textId="77777777" w:rsidR="00EC27F8" w:rsidRDefault="00EC27F8" w:rsidP="00221F14">
      <w:pPr>
        <w:tabs>
          <w:tab w:val="left" w:pos="360"/>
          <w:tab w:val="left" w:pos="1080"/>
        </w:tabs>
        <w:ind w:left="720" w:hanging="720"/>
      </w:pPr>
      <w:r>
        <w:tab/>
      </w:r>
      <w:r>
        <w:tab/>
      </w:r>
      <w:r>
        <w:tab/>
      </w:r>
      <w:r>
        <w:tab/>
      </w:r>
      <w:smartTag w:uri="urn:schemas-microsoft-com:office:smarttags" w:element="place">
        <w:smartTag w:uri="urn:schemas-microsoft-com:office:smarttags" w:element="City">
          <w:r>
            <w:t>Peoria</w:t>
          </w:r>
        </w:smartTag>
        <w:r>
          <w:t xml:space="preserve"> </w:t>
        </w:r>
        <w:smartTag w:uri="urn:schemas-microsoft-com:office:smarttags" w:element="State">
          <w:r>
            <w:t>Illinois</w:t>
          </w:r>
        </w:smartTag>
        <w:r>
          <w:t xml:space="preserve"> </w:t>
        </w:r>
        <w:smartTag w:uri="urn:schemas-microsoft-com:office:smarttags" w:element="PostalCode">
          <w:r>
            <w:t>61602</w:t>
          </w:r>
        </w:smartTag>
      </w:smartTag>
    </w:p>
    <w:p w14:paraId="5EB50C08" w14:textId="77777777" w:rsidR="00EC27F8" w:rsidRDefault="00EC27F8" w:rsidP="00221F14">
      <w:pPr>
        <w:tabs>
          <w:tab w:val="left" w:pos="360"/>
          <w:tab w:val="left" w:pos="1080"/>
        </w:tabs>
        <w:ind w:left="720" w:hanging="720"/>
      </w:pPr>
    </w:p>
    <w:p w14:paraId="629B684B" w14:textId="77777777" w:rsidR="00EC27F8" w:rsidRDefault="00EC27F8" w:rsidP="00EC27F8">
      <w:pPr>
        <w:tabs>
          <w:tab w:val="left" w:pos="360"/>
          <w:tab w:val="left" w:pos="1080"/>
        </w:tabs>
        <w:ind w:left="1080"/>
      </w:pPr>
      <w:r>
        <w:t>It is important the Offeror’s proposal be submitted in a sealed envelope clearly marked in the lower left-hand corner with the following information:</w:t>
      </w:r>
    </w:p>
    <w:p w14:paraId="7EFCF9D5" w14:textId="77777777" w:rsidR="00EC27F8" w:rsidRDefault="00EC27F8" w:rsidP="00221F14">
      <w:pPr>
        <w:tabs>
          <w:tab w:val="left" w:pos="360"/>
          <w:tab w:val="left" w:pos="1080"/>
        </w:tabs>
        <w:ind w:left="720" w:hanging="720"/>
      </w:pPr>
    </w:p>
    <w:p w14:paraId="4A09527F" w14:textId="77777777" w:rsidR="00EC27F8" w:rsidRDefault="00EC27F8" w:rsidP="00221F14">
      <w:pPr>
        <w:tabs>
          <w:tab w:val="left" w:pos="360"/>
          <w:tab w:val="left" w:pos="1080"/>
        </w:tabs>
        <w:ind w:left="720" w:hanging="720"/>
      </w:pPr>
      <w:r>
        <w:tab/>
      </w:r>
      <w:r>
        <w:tab/>
      </w:r>
      <w:r>
        <w:tab/>
      </w:r>
      <w:r>
        <w:tab/>
        <w:t>Request for Proposal</w:t>
      </w:r>
    </w:p>
    <w:p w14:paraId="62AE9E30" w14:textId="339688F2" w:rsidR="00EC27F8" w:rsidRPr="006B4F11" w:rsidRDefault="00EC27F8" w:rsidP="00221F14">
      <w:pPr>
        <w:tabs>
          <w:tab w:val="left" w:pos="360"/>
          <w:tab w:val="left" w:pos="1080"/>
        </w:tabs>
        <w:ind w:left="720" w:hanging="720"/>
      </w:pPr>
      <w:r>
        <w:tab/>
      </w:r>
      <w:r>
        <w:tab/>
      </w:r>
      <w:r>
        <w:tab/>
      </w:r>
      <w:r>
        <w:tab/>
      </w:r>
      <w:smartTag w:uri="urn:schemas-microsoft-com:office:smarttags" w:element="time">
        <w:smartTagPr>
          <w:attr w:name="Hour" w:val="16"/>
          <w:attr w:name="Minute" w:val="30"/>
        </w:smartTagPr>
        <w:r w:rsidRPr="006B4F11">
          <w:t>4:30 p.m.</w:t>
        </w:r>
      </w:smartTag>
      <w:r w:rsidRPr="006B4F11">
        <w:t xml:space="preserve"> </w:t>
      </w:r>
      <w:r w:rsidR="006B4F11" w:rsidRPr="006B4F11">
        <w:t>March 1</w:t>
      </w:r>
      <w:r w:rsidR="009D02F9" w:rsidRPr="0033075D">
        <w:t>2</w:t>
      </w:r>
      <w:r w:rsidR="004413A5" w:rsidRPr="0033075D">
        <w:t>, 20</w:t>
      </w:r>
      <w:r w:rsidR="00115EC0" w:rsidRPr="0033075D">
        <w:t>25</w:t>
      </w:r>
    </w:p>
    <w:p w14:paraId="5FF77F49" w14:textId="77777777" w:rsidR="00EC27F8" w:rsidRDefault="00EC27F8" w:rsidP="00221F14">
      <w:pPr>
        <w:tabs>
          <w:tab w:val="left" w:pos="360"/>
          <w:tab w:val="left" w:pos="1080"/>
        </w:tabs>
        <w:ind w:left="720" w:hanging="720"/>
      </w:pPr>
      <w:r>
        <w:tab/>
      </w:r>
      <w:r>
        <w:tab/>
      </w:r>
      <w:r>
        <w:tab/>
      </w:r>
      <w:r>
        <w:tab/>
        <w:t>SEALED PROPOSAL</w:t>
      </w:r>
    </w:p>
    <w:p w14:paraId="34DB0A48" w14:textId="48AB8645" w:rsidR="00EC27F8" w:rsidRDefault="00EC27F8" w:rsidP="00221F14">
      <w:pPr>
        <w:tabs>
          <w:tab w:val="left" w:pos="360"/>
          <w:tab w:val="left" w:pos="1080"/>
        </w:tabs>
        <w:ind w:left="720" w:hanging="720"/>
      </w:pPr>
      <w:r>
        <w:tab/>
      </w:r>
      <w:r>
        <w:tab/>
      </w:r>
      <w:r>
        <w:tab/>
      </w:r>
      <w:r>
        <w:tab/>
        <w:t>For Audit</w:t>
      </w:r>
      <w:r w:rsidR="007D3D4C">
        <w:t>ing</w:t>
      </w:r>
      <w:r>
        <w:t xml:space="preserve"> Services</w:t>
      </w:r>
    </w:p>
    <w:p w14:paraId="5226422C" w14:textId="77777777" w:rsidR="00651D98" w:rsidRDefault="00651D98" w:rsidP="00221F14">
      <w:pPr>
        <w:tabs>
          <w:tab w:val="left" w:pos="360"/>
          <w:tab w:val="left" w:pos="1080"/>
        </w:tabs>
        <w:ind w:left="720" w:hanging="720"/>
      </w:pPr>
    </w:p>
    <w:p w14:paraId="20C57FE8" w14:textId="77777777" w:rsidR="00651D98" w:rsidRDefault="00651D98" w:rsidP="00651D98">
      <w:pPr>
        <w:tabs>
          <w:tab w:val="left" w:pos="360"/>
          <w:tab w:val="left" w:pos="1080"/>
        </w:tabs>
        <w:ind w:left="1080" w:hanging="1080"/>
      </w:pPr>
      <w:r>
        <w:tab/>
      </w:r>
      <w:r>
        <w:tab/>
        <w:t>Failure to do so may result in premature disclosure of your proposal.  Fu</w:t>
      </w:r>
      <w:r w:rsidR="00535AAD">
        <w:t>r</w:t>
      </w:r>
      <w:r>
        <w:t>ther, it is the responsibility of the Offeror to insure that the proposal is received by the Commission by the time and date specified above.  Late proposals will not be considered.</w:t>
      </w:r>
    </w:p>
    <w:p w14:paraId="53C8ACAA" w14:textId="77777777" w:rsidR="00F33241" w:rsidRDefault="00F33241" w:rsidP="00651D98">
      <w:pPr>
        <w:tabs>
          <w:tab w:val="left" w:pos="360"/>
          <w:tab w:val="left" w:pos="1080"/>
        </w:tabs>
        <w:ind w:left="1080" w:hanging="1080"/>
      </w:pPr>
    </w:p>
    <w:p w14:paraId="56C7C658" w14:textId="11A217FE" w:rsidR="00F33241" w:rsidRDefault="00EF301C" w:rsidP="00F33241">
      <w:pPr>
        <w:tabs>
          <w:tab w:val="left" w:pos="360"/>
          <w:tab w:val="left" w:pos="720"/>
          <w:tab w:val="left" w:pos="1080"/>
        </w:tabs>
        <w:ind w:left="1080" w:hanging="1080"/>
      </w:pPr>
      <w:r>
        <w:tab/>
      </w:r>
      <w:r w:rsidR="00F33241">
        <w:tab/>
        <w:t>5.</w:t>
      </w:r>
      <w:r w:rsidR="00F33241">
        <w:tab/>
        <w:t>Right to Reject</w:t>
      </w:r>
    </w:p>
    <w:p w14:paraId="49110931" w14:textId="77777777" w:rsidR="00F33241" w:rsidRDefault="00F33241" w:rsidP="00F33241">
      <w:pPr>
        <w:tabs>
          <w:tab w:val="left" w:pos="360"/>
          <w:tab w:val="left" w:pos="720"/>
          <w:tab w:val="left" w:pos="1080"/>
        </w:tabs>
        <w:ind w:left="1080" w:hanging="1080"/>
      </w:pPr>
    </w:p>
    <w:p w14:paraId="2D9A73DE" w14:textId="77777777" w:rsidR="00F33241" w:rsidRDefault="00F33241" w:rsidP="00F33241">
      <w:pPr>
        <w:tabs>
          <w:tab w:val="left" w:pos="360"/>
          <w:tab w:val="left" w:pos="720"/>
          <w:tab w:val="left" w:pos="1080"/>
        </w:tabs>
        <w:ind w:left="1080" w:hanging="1080"/>
      </w:pPr>
      <w:r>
        <w:tab/>
      </w:r>
      <w:r>
        <w:tab/>
      </w:r>
      <w:r>
        <w:tab/>
        <w:t>The Commission reserves the right to reject any and all proposals received by reason of this request, or to negotiate separately in any manner necessary to serve the best interest of the Commission.  A contract for the accepted proposal will be based upon the factors described in this RFP.</w:t>
      </w:r>
    </w:p>
    <w:p w14:paraId="195BE80A" w14:textId="77777777" w:rsidR="00F33241" w:rsidRDefault="00F33241" w:rsidP="00F33241">
      <w:pPr>
        <w:tabs>
          <w:tab w:val="left" w:pos="360"/>
          <w:tab w:val="left" w:pos="720"/>
          <w:tab w:val="left" w:pos="1080"/>
        </w:tabs>
        <w:ind w:left="1080" w:hanging="1080"/>
      </w:pPr>
    </w:p>
    <w:p w14:paraId="75E179AF" w14:textId="77777777" w:rsidR="00F33241" w:rsidRDefault="00F33241" w:rsidP="00F33241">
      <w:pPr>
        <w:tabs>
          <w:tab w:val="left" w:pos="360"/>
          <w:tab w:val="left" w:pos="720"/>
          <w:tab w:val="left" w:pos="1080"/>
        </w:tabs>
        <w:ind w:left="1080" w:hanging="1080"/>
      </w:pPr>
      <w:r>
        <w:tab/>
      </w:r>
      <w:r>
        <w:tab/>
        <w:t>6.</w:t>
      </w:r>
      <w:r>
        <w:tab/>
        <w:t>Notification of Award</w:t>
      </w:r>
    </w:p>
    <w:p w14:paraId="6606154D" w14:textId="77777777" w:rsidR="00F33241" w:rsidRDefault="00F33241" w:rsidP="00F33241">
      <w:pPr>
        <w:tabs>
          <w:tab w:val="left" w:pos="360"/>
          <w:tab w:val="left" w:pos="720"/>
          <w:tab w:val="left" w:pos="1080"/>
        </w:tabs>
        <w:ind w:left="1080" w:hanging="1080"/>
      </w:pPr>
    </w:p>
    <w:p w14:paraId="126C0603" w14:textId="77777777" w:rsidR="00F33241" w:rsidRDefault="00F33241" w:rsidP="00F33241">
      <w:pPr>
        <w:tabs>
          <w:tab w:val="left" w:pos="360"/>
          <w:tab w:val="left" w:pos="720"/>
          <w:tab w:val="left" w:pos="1080"/>
        </w:tabs>
        <w:ind w:left="1080" w:hanging="1080"/>
      </w:pPr>
      <w:r>
        <w:tab/>
      </w:r>
      <w:r>
        <w:tab/>
      </w:r>
      <w:r>
        <w:tab/>
        <w:t xml:space="preserve">It is expected that a decision selecting the successful audit firm will be made within one (1) week of the closing date for the receipt of proposals.  Upon the conclusion of the final negotiations with the successful audit firm, all Offerors </w:t>
      </w:r>
      <w:r w:rsidR="008E4553">
        <w:t>submitting proposals in response to this RFP will be informed, in writing, of the name of the successful audit firm.</w:t>
      </w:r>
    </w:p>
    <w:p w14:paraId="552F6F2A" w14:textId="77777777" w:rsidR="008E4553" w:rsidRDefault="008E4553" w:rsidP="00F33241">
      <w:pPr>
        <w:tabs>
          <w:tab w:val="left" w:pos="360"/>
          <w:tab w:val="left" w:pos="720"/>
          <w:tab w:val="left" w:pos="1080"/>
        </w:tabs>
        <w:ind w:left="1080" w:hanging="1080"/>
      </w:pPr>
    </w:p>
    <w:p w14:paraId="17C88271" w14:textId="77777777" w:rsidR="00182C5F" w:rsidRDefault="008E4553">
      <w:pPr>
        <w:tabs>
          <w:tab w:val="left" w:pos="360"/>
          <w:tab w:val="left" w:pos="720"/>
          <w:tab w:val="left" w:pos="1080"/>
        </w:tabs>
        <w:ind w:left="1080" w:hanging="1080"/>
      </w:pPr>
      <w:r>
        <w:tab/>
      </w:r>
      <w:r>
        <w:tab/>
      </w:r>
      <w:r>
        <w:tab/>
      </w:r>
      <w:r w:rsidRPr="00282860">
        <w:t>It is expected that the contract shall be a one-year fixed price contract with the options for two additional one-year periods.</w:t>
      </w:r>
    </w:p>
    <w:p w14:paraId="0240D6E9" w14:textId="77777777" w:rsidR="00182C5F" w:rsidRDefault="00182C5F">
      <w:pPr>
        <w:tabs>
          <w:tab w:val="left" w:pos="360"/>
          <w:tab w:val="left" w:pos="720"/>
          <w:tab w:val="left" w:pos="1080"/>
        </w:tabs>
        <w:ind w:left="1080" w:hanging="1080"/>
      </w:pPr>
    </w:p>
    <w:p w14:paraId="0C81626B" w14:textId="77777777" w:rsidR="00182C5F" w:rsidRDefault="00D04761">
      <w:pPr>
        <w:tabs>
          <w:tab w:val="left" w:pos="360"/>
          <w:tab w:val="left" w:pos="720"/>
          <w:tab w:val="left" w:pos="1080"/>
        </w:tabs>
        <w:ind w:left="1080" w:hanging="1080"/>
      </w:pPr>
      <w:r>
        <w:tab/>
      </w:r>
      <w:r>
        <w:tab/>
        <w:t>7.  A copy of the firm’s most recent Peer Review shall accompany the proposal.</w:t>
      </w:r>
      <w:r>
        <w:tab/>
      </w:r>
    </w:p>
    <w:p w14:paraId="5AA95812" w14:textId="77777777" w:rsidR="008E4553" w:rsidRDefault="008E4553" w:rsidP="00F33241">
      <w:pPr>
        <w:tabs>
          <w:tab w:val="left" w:pos="360"/>
          <w:tab w:val="left" w:pos="720"/>
          <w:tab w:val="left" w:pos="1080"/>
        </w:tabs>
        <w:ind w:left="1080" w:hanging="1080"/>
      </w:pPr>
    </w:p>
    <w:p w14:paraId="2DA49A06" w14:textId="77777777" w:rsidR="008E4553" w:rsidRDefault="008E4553" w:rsidP="00F33241">
      <w:pPr>
        <w:tabs>
          <w:tab w:val="left" w:pos="360"/>
          <w:tab w:val="left" w:pos="720"/>
          <w:tab w:val="left" w:pos="1080"/>
        </w:tabs>
        <w:ind w:left="1080" w:hanging="1080"/>
      </w:pPr>
      <w:r>
        <w:tab/>
        <w:t>D.</w:t>
      </w:r>
      <w:r>
        <w:tab/>
        <w:t>Description of Entity, Programs, and Records to be Audited</w:t>
      </w:r>
    </w:p>
    <w:p w14:paraId="1EB5AD86" w14:textId="77777777" w:rsidR="008E4553" w:rsidRDefault="008E4553" w:rsidP="00F33241">
      <w:pPr>
        <w:tabs>
          <w:tab w:val="left" w:pos="360"/>
          <w:tab w:val="left" w:pos="720"/>
          <w:tab w:val="left" w:pos="1080"/>
        </w:tabs>
        <w:ind w:left="1080" w:hanging="1080"/>
      </w:pPr>
    </w:p>
    <w:p w14:paraId="3ACEC340" w14:textId="4D003F1A" w:rsidR="008E4553" w:rsidRDefault="008E4553" w:rsidP="008E4553">
      <w:pPr>
        <w:tabs>
          <w:tab w:val="left" w:pos="360"/>
          <w:tab w:val="left" w:pos="720"/>
        </w:tabs>
        <w:ind w:left="720" w:hanging="1080"/>
      </w:pPr>
      <w:r>
        <w:tab/>
      </w:r>
      <w:r>
        <w:tab/>
        <w:t>Tri-County Regional Planning Commission i</w:t>
      </w:r>
      <w:r w:rsidR="0053266D">
        <w:t>s</w:t>
      </w:r>
      <w:r>
        <w:t xml:space="preserve"> a non-profit organization administering primarily Illinois Department of Transportation and </w:t>
      </w:r>
      <w:r w:rsidR="00BA3801" w:rsidRPr="0033075D">
        <w:t xml:space="preserve">local funds </w:t>
      </w:r>
      <w:r w:rsidRPr="0033075D">
        <w:t xml:space="preserve">serving </w:t>
      </w:r>
      <w:r w:rsidR="00BA3801" w:rsidRPr="0033075D">
        <w:t>Peoria, Tazewell, and Woodford C</w:t>
      </w:r>
      <w:r w:rsidRPr="0033075D">
        <w:t xml:space="preserve">ounties in Central Illinois.  It is governed </w:t>
      </w:r>
      <w:r>
        <w:t>by a volunteer Board of Directors.</w:t>
      </w:r>
    </w:p>
    <w:p w14:paraId="2925325D" w14:textId="77777777" w:rsidR="008E4553" w:rsidRDefault="008E4553" w:rsidP="00F33241">
      <w:pPr>
        <w:tabs>
          <w:tab w:val="left" w:pos="360"/>
          <w:tab w:val="left" w:pos="720"/>
          <w:tab w:val="left" w:pos="1080"/>
        </w:tabs>
        <w:ind w:left="1080" w:hanging="1080"/>
      </w:pPr>
      <w:r>
        <w:tab/>
      </w:r>
    </w:p>
    <w:p w14:paraId="1309D189" w14:textId="15B788E1" w:rsidR="007A522D" w:rsidRDefault="007A522D" w:rsidP="007A522D">
      <w:pPr>
        <w:tabs>
          <w:tab w:val="left" w:pos="360"/>
          <w:tab w:val="left" w:pos="720"/>
        </w:tabs>
        <w:ind w:left="720" w:hanging="1080"/>
      </w:pPr>
      <w:r>
        <w:tab/>
      </w:r>
      <w:r>
        <w:tab/>
        <w:t>Records to be audited include, but are not limited to, client files</w:t>
      </w:r>
      <w:r w:rsidR="00BA3801" w:rsidRPr="001D39AB">
        <w:t>,</w:t>
      </w:r>
      <w:r w:rsidRPr="001D39AB">
        <w:t xml:space="preserve"> financial</w:t>
      </w:r>
      <w:r w:rsidR="00BA3801" w:rsidRPr="001D39AB">
        <w:t>,</w:t>
      </w:r>
      <w:r>
        <w:t xml:space="preserve"> and administrative records.  Upon request, records to be audited will be made available for review by the Offeror prior to proposal submission.</w:t>
      </w:r>
    </w:p>
    <w:p w14:paraId="7AB82DA3" w14:textId="77777777" w:rsidR="007A522D" w:rsidRDefault="007A522D" w:rsidP="007A522D">
      <w:pPr>
        <w:tabs>
          <w:tab w:val="left" w:pos="360"/>
          <w:tab w:val="left" w:pos="720"/>
        </w:tabs>
        <w:ind w:left="720" w:hanging="1080"/>
      </w:pPr>
    </w:p>
    <w:p w14:paraId="06BBC140" w14:textId="7F3ABC2A" w:rsidR="007A522D" w:rsidRPr="0033075D" w:rsidRDefault="007A522D" w:rsidP="007A522D">
      <w:pPr>
        <w:tabs>
          <w:tab w:val="left" w:pos="360"/>
          <w:tab w:val="left" w:pos="720"/>
        </w:tabs>
        <w:ind w:left="720"/>
      </w:pPr>
      <w:r>
        <w:t xml:space="preserve">Grants to be covered in the scope of the audit include funding provided by the State of Illinois through the programs of Federal Highway Administration planning (PL), Federal Transit </w:t>
      </w:r>
      <w:r w:rsidRPr="00BA3801">
        <w:t>Administration Section 5303 (FTA 5303), and Federal Transit Administration Section 53</w:t>
      </w:r>
      <w:r w:rsidR="00ED6B6E" w:rsidRPr="00BA3801">
        <w:t>07 (FTA 5307).</w:t>
      </w:r>
      <w:r w:rsidR="00ED6B6E">
        <w:t xml:space="preserve">  Other miscellaneous and immaterial revenues are also received by the Commission</w:t>
      </w:r>
      <w:r w:rsidR="00372F16">
        <w:t xml:space="preserve"> </w:t>
      </w:r>
      <w:r w:rsidR="00372F16" w:rsidRPr="0033075D">
        <w:t>through local entities and other programs through</w:t>
      </w:r>
      <w:r w:rsidR="00391937" w:rsidRPr="0033075D">
        <w:t xml:space="preserve"> USDA</w:t>
      </w:r>
      <w:r w:rsidR="00372F16" w:rsidRPr="0033075D">
        <w:t>, IDNR</w:t>
      </w:r>
      <w:r w:rsidR="00372F16" w:rsidRPr="00BB1AB8">
        <w:t xml:space="preserve">, </w:t>
      </w:r>
      <w:r w:rsidR="00BB1AB8" w:rsidRPr="00282860">
        <w:t xml:space="preserve">USEPA </w:t>
      </w:r>
      <w:r w:rsidR="00372F16" w:rsidRPr="0033075D">
        <w:t>and IEPA</w:t>
      </w:r>
      <w:r w:rsidR="0033075D" w:rsidRPr="0033075D">
        <w:t>.</w:t>
      </w:r>
      <w:r w:rsidR="00391937" w:rsidRPr="0033075D">
        <w:t xml:space="preserve"> </w:t>
      </w:r>
      <w:r w:rsidR="00ED6B6E" w:rsidRPr="0033075D">
        <w:t>Total revenues for the Commission for FY June 30, 20</w:t>
      </w:r>
      <w:r w:rsidR="00372F16" w:rsidRPr="0033075D">
        <w:t>24</w:t>
      </w:r>
      <w:r w:rsidR="00ED6B6E" w:rsidRPr="0033075D">
        <w:t>, d</w:t>
      </w:r>
      <w:r w:rsidR="0053266D" w:rsidRPr="0033075D">
        <w:t>id</w:t>
      </w:r>
      <w:r w:rsidR="00ED6B6E" w:rsidRPr="0033075D">
        <w:t xml:space="preserve"> not exceed $</w:t>
      </w:r>
      <w:r w:rsidR="00372F16" w:rsidRPr="0033075D">
        <w:t>2.4</w:t>
      </w:r>
      <w:r w:rsidR="00977CB2" w:rsidRPr="0033075D">
        <w:t>M</w:t>
      </w:r>
      <w:r w:rsidR="006A5E8A" w:rsidRPr="0033075D">
        <w:t xml:space="preserve"> and total assets </w:t>
      </w:r>
      <w:r w:rsidR="00977CB2" w:rsidRPr="0033075D">
        <w:t xml:space="preserve">of </w:t>
      </w:r>
      <w:r w:rsidR="00372F16" w:rsidRPr="0033075D">
        <w:t>$</w:t>
      </w:r>
      <w:r w:rsidR="00977CB2" w:rsidRPr="0033075D">
        <w:t>1.</w:t>
      </w:r>
      <w:r w:rsidR="00372F16" w:rsidRPr="0033075D">
        <w:t>9</w:t>
      </w:r>
      <w:r w:rsidR="00977CB2" w:rsidRPr="0033075D">
        <w:t>M</w:t>
      </w:r>
      <w:r w:rsidR="006A5E8A" w:rsidRPr="0033075D">
        <w:t>.</w:t>
      </w:r>
    </w:p>
    <w:p w14:paraId="6BF1719D" w14:textId="77777777" w:rsidR="00ED6B6E" w:rsidRDefault="00ED6B6E" w:rsidP="007A522D">
      <w:pPr>
        <w:tabs>
          <w:tab w:val="left" w:pos="360"/>
          <w:tab w:val="left" w:pos="720"/>
        </w:tabs>
        <w:ind w:left="720"/>
      </w:pPr>
    </w:p>
    <w:p w14:paraId="28A08B2C" w14:textId="511D7848" w:rsidR="00ED6B6E" w:rsidRDefault="00ED6B6E" w:rsidP="007A522D">
      <w:pPr>
        <w:tabs>
          <w:tab w:val="left" w:pos="360"/>
          <w:tab w:val="left" w:pos="720"/>
        </w:tabs>
        <w:ind w:left="720"/>
      </w:pPr>
      <w:r>
        <w:t xml:space="preserve">Separate bank accounts are not maintained for </w:t>
      </w:r>
      <w:r w:rsidR="006A5E8A">
        <w:t>all</w:t>
      </w:r>
      <w:r>
        <w:t xml:space="preserve"> grant fund</w:t>
      </w:r>
      <w:r w:rsidR="006A5E8A">
        <w:t>s</w:t>
      </w:r>
      <w:r>
        <w:t xml:space="preserve">; instead, the funds maintain their cash balances in a common checking account, with accounting records being maintained to allocate disbursement to the appropriate fund.  Approximately </w:t>
      </w:r>
      <w:r w:rsidR="00650BE0">
        <w:t>8</w:t>
      </w:r>
      <w:r>
        <w:t xml:space="preserve">00 </w:t>
      </w:r>
      <w:r w:rsidR="00C17C20" w:rsidRPr="0033075D">
        <w:t xml:space="preserve">payments </w:t>
      </w:r>
      <w:r w:rsidRPr="0033075D">
        <w:t xml:space="preserve">per year are written on this account.   Further, payroll and related payroll tax return filings are processed </w:t>
      </w:r>
      <w:r w:rsidR="00650BE0" w:rsidRPr="0033075D">
        <w:t>i</w:t>
      </w:r>
      <w:r w:rsidR="006A5E8A" w:rsidRPr="0033075D">
        <w:t>nternally</w:t>
      </w:r>
      <w:r w:rsidR="00650BE0" w:rsidRPr="0033075D">
        <w:t xml:space="preserve"> from timesheets</w:t>
      </w:r>
      <w:r w:rsidR="006A5E8A" w:rsidRPr="0033075D">
        <w:t xml:space="preserve"> </w:t>
      </w:r>
      <w:r w:rsidR="00650BE0" w:rsidRPr="0033075D">
        <w:t>using</w:t>
      </w:r>
      <w:r w:rsidR="006A5E8A" w:rsidRPr="0033075D">
        <w:t xml:space="preserve"> QuickBooks</w:t>
      </w:r>
      <w:r w:rsidR="0092489B" w:rsidRPr="0033075D">
        <w:t xml:space="preserve"> </w:t>
      </w:r>
      <w:r w:rsidR="00C17C20" w:rsidRPr="0033075D">
        <w:t>Enterprise</w:t>
      </w:r>
      <w:r w:rsidRPr="0033075D">
        <w:t>.  An automated accounting system is maintained using Qui</w:t>
      </w:r>
      <w:r w:rsidR="001D278D" w:rsidRPr="0033075D">
        <w:t xml:space="preserve">ckBooks </w:t>
      </w:r>
      <w:r w:rsidR="0092489B" w:rsidRPr="0033075D">
        <w:t>Enterprise software</w:t>
      </w:r>
      <w:r w:rsidR="001D278D" w:rsidRPr="0033075D">
        <w:t xml:space="preserve">, and reports </w:t>
      </w:r>
      <w:r w:rsidR="001D278D">
        <w:t>and ledgers are prepared using this accounting system.</w:t>
      </w:r>
    </w:p>
    <w:p w14:paraId="3207E9A2" w14:textId="77777777" w:rsidR="00675C12" w:rsidRDefault="00675C12" w:rsidP="007A522D">
      <w:pPr>
        <w:tabs>
          <w:tab w:val="left" w:pos="360"/>
          <w:tab w:val="left" w:pos="720"/>
        </w:tabs>
        <w:ind w:left="720"/>
      </w:pPr>
    </w:p>
    <w:p w14:paraId="749AACBD" w14:textId="77777777" w:rsidR="00675C12" w:rsidRDefault="00675C12" w:rsidP="007A522D">
      <w:pPr>
        <w:tabs>
          <w:tab w:val="left" w:pos="360"/>
          <w:tab w:val="left" w:pos="720"/>
        </w:tabs>
        <w:ind w:left="720"/>
      </w:pPr>
    </w:p>
    <w:p w14:paraId="0DEB0F17" w14:textId="77777777" w:rsidR="001D278D" w:rsidRDefault="001D278D" w:rsidP="001D278D">
      <w:pPr>
        <w:tabs>
          <w:tab w:val="left" w:pos="0"/>
          <w:tab w:val="left" w:pos="360"/>
        </w:tabs>
      </w:pPr>
      <w:r>
        <w:t>E.</w:t>
      </w:r>
      <w:r>
        <w:tab/>
        <w:t>Options</w:t>
      </w:r>
    </w:p>
    <w:p w14:paraId="0DAEA81F" w14:textId="77777777" w:rsidR="001D278D" w:rsidRDefault="001D278D" w:rsidP="001D278D">
      <w:pPr>
        <w:tabs>
          <w:tab w:val="left" w:pos="0"/>
          <w:tab w:val="left" w:pos="360"/>
        </w:tabs>
      </w:pPr>
    </w:p>
    <w:p w14:paraId="00745AAC" w14:textId="77777777" w:rsidR="001D278D" w:rsidRDefault="001D278D" w:rsidP="001D278D">
      <w:pPr>
        <w:tabs>
          <w:tab w:val="left" w:pos="360"/>
        </w:tabs>
        <w:ind w:left="360"/>
      </w:pPr>
      <w:r w:rsidRPr="00282860">
        <w:t xml:space="preserve">At the discretion of Tri-County Regional Planning Commission, this audit contract can be extended for two additional one-year periods.  The cost for the option will be agreed upon by the Commission and the Offeror.  It is anticipated that the cost for the optional years will be based upon the same approximate cost per thousand dollars of audited expenditures </w:t>
      </w:r>
      <w:r w:rsidR="00D21D1B" w:rsidRPr="00282860">
        <w:t>as the contract for the initial period.</w:t>
      </w:r>
    </w:p>
    <w:p w14:paraId="0AC72ED0" w14:textId="77777777" w:rsidR="00D21D1B" w:rsidRDefault="00D21D1B" w:rsidP="00D21D1B">
      <w:pPr>
        <w:tabs>
          <w:tab w:val="left" w:pos="360"/>
        </w:tabs>
      </w:pPr>
    </w:p>
    <w:p w14:paraId="165B8921" w14:textId="77777777" w:rsidR="00D21D1B" w:rsidRDefault="00D21D1B" w:rsidP="00D21D1B">
      <w:pPr>
        <w:tabs>
          <w:tab w:val="left" w:pos="360"/>
        </w:tabs>
      </w:pPr>
      <w:r>
        <w:t>F.</w:t>
      </w:r>
      <w:r>
        <w:tab/>
        <w:t>Delivery Schedule</w:t>
      </w:r>
    </w:p>
    <w:p w14:paraId="50A8725E" w14:textId="77777777" w:rsidR="00D21D1B" w:rsidRDefault="00D21D1B" w:rsidP="00D21D1B">
      <w:pPr>
        <w:tabs>
          <w:tab w:val="left" w:pos="360"/>
        </w:tabs>
      </w:pPr>
    </w:p>
    <w:p w14:paraId="69386B42" w14:textId="729C3C11" w:rsidR="00D21D1B" w:rsidRPr="0033075D" w:rsidRDefault="00D21D1B" w:rsidP="00D21D1B">
      <w:pPr>
        <w:tabs>
          <w:tab w:val="left" w:pos="360"/>
        </w:tabs>
      </w:pPr>
      <w:r>
        <w:tab/>
        <w:t xml:space="preserve">Field work relating to this RFP can begin after </w:t>
      </w:r>
      <w:r w:rsidR="0092489B" w:rsidRPr="0033075D">
        <w:t>August 20, 2025</w:t>
      </w:r>
      <w:r w:rsidRPr="0033075D">
        <w:t>.</w:t>
      </w:r>
    </w:p>
    <w:p w14:paraId="3477A2BC" w14:textId="77777777" w:rsidR="00D21D1B" w:rsidRPr="0033075D" w:rsidRDefault="00D21D1B" w:rsidP="00D21D1B">
      <w:pPr>
        <w:tabs>
          <w:tab w:val="left" w:pos="360"/>
        </w:tabs>
      </w:pPr>
    </w:p>
    <w:p w14:paraId="6CAAE561" w14:textId="77777777" w:rsidR="00D21D1B" w:rsidRPr="0033075D" w:rsidRDefault="00D21D1B" w:rsidP="00D21D1B">
      <w:pPr>
        <w:tabs>
          <w:tab w:val="left" w:pos="360"/>
        </w:tabs>
        <w:ind w:left="360" w:hanging="360"/>
      </w:pPr>
      <w:r w:rsidRPr="0033075D">
        <w:tab/>
        <w:t>The audit report pursuant to the RFP must be submitted to the Commission in accordance with the following schedule:</w:t>
      </w:r>
    </w:p>
    <w:p w14:paraId="732EA755" w14:textId="77777777" w:rsidR="00D21D1B" w:rsidRPr="0033075D" w:rsidRDefault="00D21D1B" w:rsidP="00D21D1B">
      <w:pPr>
        <w:tabs>
          <w:tab w:val="left" w:pos="360"/>
        </w:tabs>
      </w:pPr>
    </w:p>
    <w:p w14:paraId="5FD653B3" w14:textId="10593218" w:rsidR="00D21D1B" w:rsidRPr="0033075D" w:rsidRDefault="00D21D1B" w:rsidP="00D21D1B">
      <w:pPr>
        <w:tabs>
          <w:tab w:val="left" w:pos="360"/>
        </w:tabs>
      </w:pPr>
      <w:r w:rsidRPr="0033075D">
        <w:tab/>
      </w:r>
      <w:r w:rsidRPr="0033075D">
        <w:tab/>
        <w:t>Draft Report:</w:t>
      </w:r>
      <w:r w:rsidRPr="0033075D">
        <w:tab/>
      </w:r>
      <w:r w:rsidRPr="0033075D">
        <w:tab/>
        <w:t xml:space="preserve">100% submitted by November </w:t>
      </w:r>
      <w:r w:rsidR="006B4F11" w:rsidRPr="0033075D">
        <w:t>20</w:t>
      </w:r>
      <w:r w:rsidRPr="0033075D">
        <w:t xml:space="preserve">, </w:t>
      </w:r>
      <w:r w:rsidR="00404DF0" w:rsidRPr="0033075D">
        <w:t>20</w:t>
      </w:r>
      <w:r w:rsidR="0092489B" w:rsidRPr="0033075D">
        <w:t>25</w:t>
      </w:r>
    </w:p>
    <w:p w14:paraId="3C55E28E" w14:textId="6EF09DD2" w:rsidR="00D21D1B" w:rsidRPr="0033075D" w:rsidRDefault="00D21D1B" w:rsidP="00D21D1B">
      <w:pPr>
        <w:tabs>
          <w:tab w:val="left" w:pos="360"/>
        </w:tabs>
      </w:pPr>
      <w:r w:rsidRPr="0033075D">
        <w:tab/>
      </w:r>
      <w:r w:rsidRPr="0033075D">
        <w:tab/>
        <w:t>Final Report:</w:t>
      </w:r>
      <w:r w:rsidRPr="0033075D">
        <w:tab/>
      </w:r>
      <w:r w:rsidRPr="0033075D">
        <w:tab/>
        <w:t>10</w:t>
      </w:r>
      <w:r w:rsidR="008E5037" w:rsidRPr="0033075D">
        <w:t>0% submitted by December</w:t>
      </w:r>
      <w:r w:rsidR="006B4F11" w:rsidRPr="0033075D">
        <w:t xml:space="preserve"> 1</w:t>
      </w:r>
      <w:r w:rsidR="00705AD7" w:rsidRPr="0033075D">
        <w:t xml:space="preserve">, </w:t>
      </w:r>
      <w:r w:rsidR="00404DF0" w:rsidRPr="0033075D">
        <w:t>20</w:t>
      </w:r>
      <w:r w:rsidR="0092489B" w:rsidRPr="0033075D">
        <w:t>25</w:t>
      </w:r>
    </w:p>
    <w:p w14:paraId="45E123F9" w14:textId="77777777" w:rsidR="00D21D1B" w:rsidRDefault="00D21D1B" w:rsidP="00D21D1B">
      <w:pPr>
        <w:tabs>
          <w:tab w:val="left" w:pos="360"/>
        </w:tabs>
      </w:pPr>
    </w:p>
    <w:p w14:paraId="692DDEBF" w14:textId="77777777" w:rsidR="00D21D1B" w:rsidRDefault="00D21D1B" w:rsidP="00D21D1B">
      <w:pPr>
        <w:tabs>
          <w:tab w:val="left" w:pos="360"/>
        </w:tabs>
        <w:ind w:left="360" w:hanging="360"/>
      </w:pPr>
      <w:r>
        <w:tab/>
        <w:t xml:space="preserve">The audit schedule for the two </w:t>
      </w:r>
      <w:r w:rsidR="00313931">
        <w:t>optiona</w:t>
      </w:r>
      <w:r>
        <w:t>l one-year periods will be determined at a later date by the Commission.</w:t>
      </w:r>
    </w:p>
    <w:p w14:paraId="1FC736AE" w14:textId="77777777" w:rsidR="00D21D1B" w:rsidRDefault="00D21D1B" w:rsidP="00D21D1B">
      <w:pPr>
        <w:tabs>
          <w:tab w:val="left" w:pos="360"/>
        </w:tabs>
      </w:pPr>
    </w:p>
    <w:p w14:paraId="38897D44" w14:textId="7727DFE5" w:rsidR="00B86103" w:rsidRDefault="00C41F1D" w:rsidP="00D21D1B">
      <w:pPr>
        <w:tabs>
          <w:tab w:val="left" w:pos="360"/>
        </w:tabs>
      </w:pPr>
      <w:r>
        <w:t>G.</w:t>
      </w:r>
      <w:r>
        <w:tab/>
        <w:t>Pr</w:t>
      </w:r>
      <w:r w:rsidR="00EF301C">
        <w:t>oposed Fee</w:t>
      </w:r>
    </w:p>
    <w:p w14:paraId="0D975B32" w14:textId="77777777" w:rsidR="00C41F1D" w:rsidRDefault="00C41F1D" w:rsidP="00D21D1B">
      <w:pPr>
        <w:tabs>
          <w:tab w:val="left" w:pos="360"/>
        </w:tabs>
      </w:pPr>
    </w:p>
    <w:p w14:paraId="02923734" w14:textId="31848B47" w:rsidR="00C41F1D" w:rsidRDefault="00C41F1D" w:rsidP="00C41F1D">
      <w:pPr>
        <w:tabs>
          <w:tab w:val="left" w:pos="360"/>
        </w:tabs>
        <w:ind w:left="360"/>
      </w:pPr>
      <w:r>
        <w:t xml:space="preserve">The Offeror’s proposed </w:t>
      </w:r>
      <w:r w:rsidR="00EF301C">
        <w:t>fee</w:t>
      </w:r>
      <w:r>
        <w:t xml:space="preserve"> should be clearly submitted, including any out-of-pocket expenses.</w:t>
      </w:r>
    </w:p>
    <w:p w14:paraId="3E5C758C" w14:textId="77777777" w:rsidR="00C41F1D" w:rsidRDefault="00C41F1D" w:rsidP="00D21D1B">
      <w:pPr>
        <w:tabs>
          <w:tab w:val="left" w:pos="360"/>
        </w:tabs>
      </w:pPr>
    </w:p>
    <w:p w14:paraId="7C16436A" w14:textId="77777777" w:rsidR="00C41F1D" w:rsidRDefault="00C41F1D" w:rsidP="00D21D1B">
      <w:pPr>
        <w:tabs>
          <w:tab w:val="left" w:pos="360"/>
        </w:tabs>
      </w:pPr>
      <w:r>
        <w:t>H.</w:t>
      </w:r>
      <w:r>
        <w:tab/>
        <w:t>Payment</w:t>
      </w:r>
    </w:p>
    <w:p w14:paraId="7D253C41" w14:textId="77777777" w:rsidR="00C41F1D" w:rsidRDefault="00C41F1D" w:rsidP="00D21D1B">
      <w:pPr>
        <w:tabs>
          <w:tab w:val="left" w:pos="360"/>
        </w:tabs>
      </w:pPr>
      <w:r>
        <w:tab/>
      </w:r>
    </w:p>
    <w:p w14:paraId="18858878" w14:textId="77777777" w:rsidR="00C41F1D" w:rsidRDefault="00C41F1D" w:rsidP="00C41F1D">
      <w:pPr>
        <w:tabs>
          <w:tab w:val="left" w:pos="360"/>
        </w:tabs>
        <w:ind w:left="360"/>
      </w:pPr>
      <w:r>
        <w:t>Payment will be made in the following increments:  50% upon completion and acceptance of a draft report and the balance due upon presentation of a final report approved by the Commission.  Should the Commission reject a report, notification will be given the Offeror in writing of such rejection giving the reason(s).  The right to reject a report shall extend throughout the term of this contract and for ninety (90) days after the Offeror submits a bill for the balance due on the contract for audit.</w:t>
      </w:r>
    </w:p>
    <w:p w14:paraId="55D12B00" w14:textId="77777777" w:rsidR="00C41F1D" w:rsidRDefault="00C41F1D" w:rsidP="00C41F1D">
      <w:pPr>
        <w:tabs>
          <w:tab w:val="left" w:pos="360"/>
        </w:tabs>
      </w:pPr>
    </w:p>
    <w:p w14:paraId="546B7CCF" w14:textId="77777777" w:rsidR="00C41F1D" w:rsidRDefault="00C41F1D" w:rsidP="00C41F1D">
      <w:pPr>
        <w:tabs>
          <w:tab w:val="left" w:pos="360"/>
        </w:tabs>
      </w:pPr>
      <w:r>
        <w:t>I.</w:t>
      </w:r>
      <w:r>
        <w:tab/>
        <w:t>Confidentiality</w:t>
      </w:r>
    </w:p>
    <w:p w14:paraId="3A9FFAEC" w14:textId="77777777" w:rsidR="00C41F1D" w:rsidRDefault="00C41F1D" w:rsidP="00C41F1D">
      <w:pPr>
        <w:tabs>
          <w:tab w:val="left" w:pos="360"/>
        </w:tabs>
      </w:pPr>
    </w:p>
    <w:p w14:paraId="266A14E4" w14:textId="77777777" w:rsidR="00C41F1D" w:rsidRDefault="00C41F1D" w:rsidP="00C41F1D">
      <w:pPr>
        <w:tabs>
          <w:tab w:val="left" w:pos="360"/>
        </w:tabs>
        <w:ind w:left="360"/>
      </w:pPr>
      <w:r>
        <w:t>The Offeror agrees to keep the information related to all contracts in strict confidence.</w:t>
      </w:r>
    </w:p>
    <w:p w14:paraId="4EB02A8C" w14:textId="77777777" w:rsidR="00C41F1D" w:rsidRDefault="00C41F1D" w:rsidP="00C41F1D">
      <w:pPr>
        <w:tabs>
          <w:tab w:val="left" w:pos="360"/>
        </w:tabs>
      </w:pPr>
    </w:p>
    <w:p w14:paraId="13341E6F" w14:textId="77777777" w:rsidR="009639CD" w:rsidRDefault="009639CD" w:rsidP="00C41F1D">
      <w:pPr>
        <w:tabs>
          <w:tab w:val="left" w:pos="360"/>
        </w:tabs>
      </w:pPr>
    </w:p>
    <w:p w14:paraId="27E69217" w14:textId="409CD6DC" w:rsidR="00C41F1D" w:rsidRDefault="00C41F1D" w:rsidP="009639CD">
      <w:r>
        <w:t>J.</w:t>
      </w:r>
      <w:r w:rsidR="00EF301C">
        <w:t xml:space="preserve">   </w:t>
      </w:r>
      <w:r>
        <w:t>Offeror’s Technical Qualifications</w:t>
      </w:r>
    </w:p>
    <w:p w14:paraId="537F4D6D" w14:textId="77777777" w:rsidR="00C41F1D" w:rsidRDefault="00C41F1D" w:rsidP="00C41F1D">
      <w:pPr>
        <w:tabs>
          <w:tab w:val="left" w:pos="360"/>
        </w:tabs>
      </w:pPr>
    </w:p>
    <w:p w14:paraId="55CA3CF7" w14:textId="77777777" w:rsidR="00C41F1D" w:rsidRDefault="00C41F1D" w:rsidP="00C41F1D">
      <w:pPr>
        <w:tabs>
          <w:tab w:val="left" w:pos="360"/>
        </w:tabs>
        <w:ind w:left="360"/>
      </w:pPr>
      <w:r>
        <w:t>The Offeror shall describe its qualifications, including prior auditing experience, size and structure of organization, staff qualifications, understanding of work to be performed, and signed copy of the Certifications enclosed with this RFP.  The publications listed in the Certifications will not be provided to potential Offerors by the Commission because the Commission desires to contract only with an Offeror who is already familiar with these publications.</w:t>
      </w:r>
    </w:p>
    <w:p w14:paraId="26520EEB" w14:textId="77777777" w:rsidR="009639CD" w:rsidRDefault="009639CD" w:rsidP="00C41F1D">
      <w:pPr>
        <w:tabs>
          <w:tab w:val="left" w:pos="360"/>
        </w:tabs>
        <w:ind w:left="360"/>
      </w:pPr>
    </w:p>
    <w:p w14:paraId="3A8957A7" w14:textId="77777777" w:rsidR="009639CD" w:rsidRDefault="009639CD" w:rsidP="00C41F1D">
      <w:pPr>
        <w:tabs>
          <w:tab w:val="left" w:pos="360"/>
        </w:tabs>
        <w:ind w:left="360"/>
      </w:pPr>
    </w:p>
    <w:p w14:paraId="545652DA" w14:textId="77777777" w:rsidR="00C41F1D" w:rsidRDefault="00C41F1D" w:rsidP="00C41F1D">
      <w:pPr>
        <w:tabs>
          <w:tab w:val="left" w:pos="360"/>
        </w:tabs>
      </w:pPr>
      <w:r>
        <w:t>K.</w:t>
      </w:r>
      <w:r>
        <w:tab/>
        <w:t>Evaluation</w:t>
      </w:r>
    </w:p>
    <w:p w14:paraId="0EB55D59" w14:textId="77777777" w:rsidR="00C41F1D" w:rsidRDefault="00C41F1D" w:rsidP="00C41F1D">
      <w:pPr>
        <w:tabs>
          <w:tab w:val="left" w:pos="360"/>
        </w:tabs>
      </w:pPr>
    </w:p>
    <w:p w14:paraId="5ECAE53D" w14:textId="77777777" w:rsidR="00C41F1D" w:rsidRDefault="00C41F1D" w:rsidP="00C41F1D">
      <w:pPr>
        <w:tabs>
          <w:tab w:val="left" w:pos="360"/>
        </w:tabs>
      </w:pPr>
      <w:r>
        <w:tab/>
        <w:t>Evaluation of each proposal will be based on the following:</w:t>
      </w:r>
    </w:p>
    <w:p w14:paraId="28C9410F" w14:textId="77777777" w:rsidR="00C41F1D" w:rsidRDefault="00C41F1D" w:rsidP="00C41F1D">
      <w:pPr>
        <w:tabs>
          <w:tab w:val="left" w:pos="360"/>
        </w:tabs>
      </w:pPr>
    </w:p>
    <w:p w14:paraId="4BD1A581" w14:textId="77777777" w:rsidR="00C41F1D" w:rsidRDefault="00C41F1D" w:rsidP="00C41F1D">
      <w:pPr>
        <w:tabs>
          <w:tab w:val="left" w:pos="360"/>
        </w:tabs>
      </w:pPr>
      <w:r>
        <w:tab/>
        <w:t>1.</w:t>
      </w:r>
      <w:r>
        <w:tab/>
        <w:t>Prior related auditing experience (30 points)</w:t>
      </w:r>
    </w:p>
    <w:p w14:paraId="44C72386" w14:textId="77777777" w:rsidR="00C41F1D" w:rsidRDefault="00C41F1D" w:rsidP="00C41F1D">
      <w:pPr>
        <w:tabs>
          <w:tab w:val="left" w:pos="360"/>
        </w:tabs>
      </w:pPr>
    </w:p>
    <w:p w14:paraId="26AAA778" w14:textId="77777777" w:rsidR="00C41F1D" w:rsidRDefault="00C41F1D" w:rsidP="00C41F1D">
      <w:pPr>
        <w:tabs>
          <w:tab w:val="left" w:pos="360"/>
        </w:tabs>
      </w:pPr>
      <w:r>
        <w:tab/>
        <w:t>2.</w:t>
      </w:r>
      <w:r>
        <w:tab/>
        <w:t>Offeror’s structure and size in relation to audit to be performed (10 points)</w:t>
      </w:r>
    </w:p>
    <w:p w14:paraId="7BE76D9F" w14:textId="77777777" w:rsidR="00C41F1D" w:rsidRDefault="00C41F1D" w:rsidP="00C41F1D">
      <w:pPr>
        <w:tabs>
          <w:tab w:val="left" w:pos="360"/>
        </w:tabs>
      </w:pPr>
    </w:p>
    <w:p w14:paraId="78657474" w14:textId="77777777" w:rsidR="00C41F1D" w:rsidRDefault="00C41F1D" w:rsidP="00C41F1D">
      <w:pPr>
        <w:tabs>
          <w:tab w:val="left" w:pos="360"/>
        </w:tabs>
      </w:pPr>
      <w:r>
        <w:tab/>
        <w:t>3.</w:t>
      </w:r>
      <w:r>
        <w:tab/>
        <w:t>Qualifications of staff to be assigned (25 points)</w:t>
      </w:r>
    </w:p>
    <w:p w14:paraId="6731848B" w14:textId="77777777" w:rsidR="00C41F1D" w:rsidRDefault="00C41F1D" w:rsidP="00C41F1D">
      <w:pPr>
        <w:tabs>
          <w:tab w:val="left" w:pos="360"/>
        </w:tabs>
      </w:pPr>
    </w:p>
    <w:p w14:paraId="71B6B2D1" w14:textId="77777777" w:rsidR="00C41F1D" w:rsidRDefault="00C41F1D" w:rsidP="00C41F1D">
      <w:pPr>
        <w:tabs>
          <w:tab w:val="left" w:pos="360"/>
        </w:tabs>
      </w:pPr>
      <w:r>
        <w:tab/>
        <w:t>4.</w:t>
      </w:r>
      <w:r>
        <w:tab/>
        <w:t>Offeror’s understanding of work to be performed (15 points)</w:t>
      </w:r>
    </w:p>
    <w:p w14:paraId="08F6F277" w14:textId="77777777" w:rsidR="00C41F1D" w:rsidRDefault="00C41F1D" w:rsidP="00C41F1D">
      <w:pPr>
        <w:tabs>
          <w:tab w:val="left" w:pos="360"/>
        </w:tabs>
      </w:pPr>
    </w:p>
    <w:p w14:paraId="04C0807F" w14:textId="6818D381" w:rsidR="00C41F1D" w:rsidRDefault="00C41F1D" w:rsidP="00C41F1D">
      <w:pPr>
        <w:tabs>
          <w:tab w:val="left" w:pos="360"/>
        </w:tabs>
      </w:pPr>
      <w:r>
        <w:tab/>
        <w:t>5.</w:t>
      </w:r>
      <w:r>
        <w:tab/>
      </w:r>
      <w:r w:rsidR="00BB1AB8" w:rsidRPr="00282860">
        <w:t xml:space="preserve">Proposed Fee </w:t>
      </w:r>
      <w:r>
        <w:t>(20 points)</w:t>
      </w:r>
    </w:p>
    <w:p w14:paraId="680E43A1" w14:textId="77777777" w:rsidR="00C41F1D" w:rsidRDefault="00C41F1D" w:rsidP="00C41F1D">
      <w:pPr>
        <w:tabs>
          <w:tab w:val="left" w:pos="360"/>
        </w:tabs>
      </w:pPr>
    </w:p>
    <w:p w14:paraId="3F047ED6" w14:textId="77777777" w:rsidR="009639CD" w:rsidRDefault="009639CD" w:rsidP="00C41F1D">
      <w:pPr>
        <w:tabs>
          <w:tab w:val="left" w:pos="360"/>
        </w:tabs>
      </w:pPr>
    </w:p>
    <w:p w14:paraId="064559DF" w14:textId="77777777" w:rsidR="00C41F1D" w:rsidRDefault="00C41F1D" w:rsidP="00C41F1D">
      <w:pPr>
        <w:tabs>
          <w:tab w:val="left" w:pos="360"/>
        </w:tabs>
      </w:pPr>
      <w:r>
        <w:t>L.</w:t>
      </w:r>
      <w:r>
        <w:tab/>
        <w:t>Review Process</w:t>
      </w:r>
    </w:p>
    <w:p w14:paraId="2D958672" w14:textId="77777777" w:rsidR="00C41F1D" w:rsidRDefault="00C41F1D" w:rsidP="00C41F1D">
      <w:pPr>
        <w:tabs>
          <w:tab w:val="left" w:pos="360"/>
        </w:tabs>
      </w:pPr>
    </w:p>
    <w:p w14:paraId="5C53935C" w14:textId="7DD89721" w:rsidR="00C41F1D" w:rsidRDefault="007F42C9" w:rsidP="00C41F1D">
      <w:pPr>
        <w:tabs>
          <w:tab w:val="left" w:pos="360"/>
        </w:tabs>
        <w:ind w:left="360"/>
      </w:pPr>
      <w:r>
        <w:t xml:space="preserve">The Commission may, at its discretion, request presentations by or meetings with any or all Offerors, to clarify or negotiate modifications to the Offeror’s proposals.  However, the Commission reserves the right to make an award without further discussion of the proposals submitted.  Therefore, proposals should be submitted initially on the most favorable terms, from both technical and </w:t>
      </w:r>
      <w:r w:rsidR="00295FCF">
        <w:t>cost</w:t>
      </w:r>
      <w:r>
        <w:t xml:space="preserve"> standpoints, which the Offeror can propose.</w:t>
      </w:r>
    </w:p>
    <w:p w14:paraId="0D49295C" w14:textId="77777777" w:rsidR="007F42C9" w:rsidRDefault="007F42C9" w:rsidP="00C41F1D">
      <w:pPr>
        <w:tabs>
          <w:tab w:val="left" w:pos="360"/>
        </w:tabs>
        <w:ind w:left="360"/>
      </w:pPr>
    </w:p>
    <w:p w14:paraId="4AC46857" w14:textId="77777777" w:rsidR="007F42C9" w:rsidRDefault="007F42C9" w:rsidP="00C41F1D">
      <w:pPr>
        <w:tabs>
          <w:tab w:val="left" w:pos="360"/>
        </w:tabs>
        <w:ind w:left="360"/>
      </w:pPr>
      <w:r>
        <w:t>The Commission contemplates award of the contract to the responsible Offeror with the highest total points.</w:t>
      </w:r>
    </w:p>
    <w:p w14:paraId="6BE3BB1A" w14:textId="77777777" w:rsidR="007F42C9" w:rsidRDefault="007F42C9" w:rsidP="00C41F1D">
      <w:pPr>
        <w:tabs>
          <w:tab w:val="left" w:pos="360"/>
        </w:tabs>
        <w:ind w:left="360"/>
      </w:pPr>
    </w:p>
    <w:p w14:paraId="1A8DCB0F" w14:textId="77777777" w:rsidR="007F42C9" w:rsidRDefault="007F42C9" w:rsidP="00C41F1D">
      <w:pPr>
        <w:tabs>
          <w:tab w:val="left" w:pos="360"/>
        </w:tabs>
        <w:ind w:left="360"/>
      </w:pPr>
    </w:p>
    <w:p w14:paraId="4CB3C69B" w14:textId="77777777" w:rsidR="007F42C9" w:rsidRDefault="007F42C9" w:rsidP="00C41F1D">
      <w:pPr>
        <w:tabs>
          <w:tab w:val="left" w:pos="360"/>
        </w:tabs>
        <w:ind w:left="360"/>
      </w:pPr>
    </w:p>
    <w:p w14:paraId="27D6FF14" w14:textId="77777777" w:rsidR="007F42C9" w:rsidRDefault="007F42C9" w:rsidP="00C41F1D">
      <w:pPr>
        <w:tabs>
          <w:tab w:val="left" w:pos="360"/>
        </w:tabs>
        <w:ind w:left="360"/>
      </w:pPr>
    </w:p>
    <w:p w14:paraId="7E0462C7" w14:textId="77777777" w:rsidR="007F42C9" w:rsidRDefault="007F42C9" w:rsidP="00C41F1D">
      <w:pPr>
        <w:tabs>
          <w:tab w:val="left" w:pos="360"/>
        </w:tabs>
        <w:ind w:left="360"/>
      </w:pPr>
    </w:p>
    <w:p w14:paraId="094E5532" w14:textId="77777777" w:rsidR="007F42C9" w:rsidRDefault="007F42C9" w:rsidP="00C41F1D">
      <w:pPr>
        <w:tabs>
          <w:tab w:val="left" w:pos="360"/>
        </w:tabs>
        <w:ind w:left="360"/>
      </w:pPr>
    </w:p>
    <w:p w14:paraId="1D271E08" w14:textId="77777777" w:rsidR="007F42C9" w:rsidRDefault="007F42C9" w:rsidP="00C41F1D">
      <w:pPr>
        <w:tabs>
          <w:tab w:val="left" w:pos="360"/>
        </w:tabs>
        <w:ind w:left="360"/>
      </w:pPr>
    </w:p>
    <w:p w14:paraId="00B7DB99" w14:textId="77777777" w:rsidR="007F42C9" w:rsidRDefault="007F42C9" w:rsidP="00C41F1D">
      <w:pPr>
        <w:tabs>
          <w:tab w:val="left" w:pos="360"/>
        </w:tabs>
        <w:ind w:left="360"/>
      </w:pPr>
    </w:p>
    <w:p w14:paraId="28702306" w14:textId="77777777" w:rsidR="007F42C9" w:rsidRDefault="007F42C9" w:rsidP="00C41F1D">
      <w:pPr>
        <w:tabs>
          <w:tab w:val="left" w:pos="360"/>
        </w:tabs>
        <w:ind w:left="360"/>
      </w:pPr>
    </w:p>
    <w:p w14:paraId="70FC579F" w14:textId="77777777" w:rsidR="007F42C9" w:rsidRDefault="007F42C9" w:rsidP="00C41F1D">
      <w:pPr>
        <w:tabs>
          <w:tab w:val="left" w:pos="360"/>
        </w:tabs>
        <w:ind w:left="360"/>
      </w:pPr>
    </w:p>
    <w:p w14:paraId="1BBA6E2E" w14:textId="77777777" w:rsidR="00675C12" w:rsidRDefault="00675C12" w:rsidP="00C41F1D">
      <w:pPr>
        <w:tabs>
          <w:tab w:val="left" w:pos="360"/>
        </w:tabs>
        <w:ind w:left="360"/>
      </w:pPr>
    </w:p>
    <w:p w14:paraId="5A219CDF" w14:textId="77777777" w:rsidR="007F42C9" w:rsidRDefault="007F42C9" w:rsidP="00C41F1D">
      <w:pPr>
        <w:tabs>
          <w:tab w:val="left" w:pos="360"/>
        </w:tabs>
        <w:ind w:left="360"/>
      </w:pPr>
    </w:p>
    <w:p w14:paraId="713FC5AE" w14:textId="77777777" w:rsidR="009639CD" w:rsidRDefault="009639CD" w:rsidP="00C41F1D">
      <w:pPr>
        <w:tabs>
          <w:tab w:val="left" w:pos="360"/>
        </w:tabs>
        <w:ind w:left="360"/>
      </w:pPr>
    </w:p>
    <w:p w14:paraId="3DC05DFB" w14:textId="77777777" w:rsidR="009639CD" w:rsidRDefault="009639CD" w:rsidP="00C41F1D">
      <w:pPr>
        <w:tabs>
          <w:tab w:val="left" w:pos="360"/>
        </w:tabs>
        <w:ind w:left="360"/>
      </w:pPr>
    </w:p>
    <w:p w14:paraId="5EFE097F" w14:textId="77777777" w:rsidR="009639CD" w:rsidRDefault="009639CD" w:rsidP="00C41F1D">
      <w:pPr>
        <w:tabs>
          <w:tab w:val="left" w:pos="360"/>
        </w:tabs>
        <w:ind w:left="360"/>
      </w:pPr>
    </w:p>
    <w:p w14:paraId="0AA5F23A" w14:textId="77777777" w:rsidR="009639CD" w:rsidRDefault="009639CD" w:rsidP="00C41F1D">
      <w:pPr>
        <w:tabs>
          <w:tab w:val="left" w:pos="360"/>
        </w:tabs>
        <w:ind w:left="360"/>
      </w:pPr>
    </w:p>
    <w:p w14:paraId="0F40A52D" w14:textId="77777777" w:rsidR="009639CD" w:rsidRDefault="009639CD" w:rsidP="00C41F1D">
      <w:pPr>
        <w:tabs>
          <w:tab w:val="left" w:pos="360"/>
        </w:tabs>
        <w:ind w:left="360"/>
      </w:pPr>
    </w:p>
    <w:p w14:paraId="260D425D" w14:textId="77777777" w:rsidR="009639CD" w:rsidRDefault="009639CD" w:rsidP="00C41F1D">
      <w:pPr>
        <w:tabs>
          <w:tab w:val="left" w:pos="360"/>
        </w:tabs>
        <w:ind w:left="360"/>
      </w:pPr>
    </w:p>
    <w:p w14:paraId="54AAD060" w14:textId="77777777" w:rsidR="009639CD" w:rsidRDefault="009639CD" w:rsidP="00C41F1D">
      <w:pPr>
        <w:tabs>
          <w:tab w:val="left" w:pos="360"/>
        </w:tabs>
        <w:ind w:left="360"/>
      </w:pPr>
    </w:p>
    <w:p w14:paraId="568BFFC3" w14:textId="77777777" w:rsidR="007F42C9" w:rsidRDefault="007F42C9" w:rsidP="00C41F1D">
      <w:pPr>
        <w:tabs>
          <w:tab w:val="left" w:pos="360"/>
        </w:tabs>
        <w:ind w:left="360"/>
      </w:pPr>
    </w:p>
    <w:p w14:paraId="53DFB321" w14:textId="77777777" w:rsidR="007F42C9" w:rsidRDefault="007F42C9" w:rsidP="00C41F1D">
      <w:pPr>
        <w:tabs>
          <w:tab w:val="left" w:pos="360"/>
        </w:tabs>
        <w:ind w:left="360"/>
      </w:pPr>
    </w:p>
    <w:p w14:paraId="60503FFF" w14:textId="77777777" w:rsidR="00EF301C" w:rsidRDefault="00EF301C" w:rsidP="004C6C47">
      <w:pPr>
        <w:tabs>
          <w:tab w:val="left" w:pos="360"/>
        </w:tabs>
        <w:ind w:left="360"/>
        <w:jc w:val="center"/>
        <w:rPr>
          <w:b/>
          <w:sz w:val="20"/>
          <w:szCs w:val="20"/>
          <w:u w:val="single"/>
        </w:rPr>
      </w:pPr>
    </w:p>
    <w:p w14:paraId="59920C45" w14:textId="44DFFF41" w:rsidR="007F42C9" w:rsidRDefault="00D855B4" w:rsidP="004C6C47">
      <w:pPr>
        <w:tabs>
          <w:tab w:val="left" w:pos="360"/>
        </w:tabs>
        <w:ind w:left="360"/>
        <w:jc w:val="center"/>
        <w:rPr>
          <w:b/>
          <w:sz w:val="20"/>
          <w:szCs w:val="20"/>
          <w:u w:val="single"/>
        </w:rPr>
      </w:pPr>
      <w:r>
        <w:rPr>
          <w:b/>
          <w:sz w:val="20"/>
          <w:szCs w:val="20"/>
          <w:u w:val="single"/>
        </w:rPr>
        <w:t>C</w:t>
      </w:r>
      <w:r w:rsidR="004C6C47" w:rsidRPr="004C6C47">
        <w:rPr>
          <w:b/>
          <w:sz w:val="20"/>
          <w:szCs w:val="20"/>
          <w:u w:val="single"/>
        </w:rPr>
        <w:t>ERTIFICATIONS</w:t>
      </w:r>
    </w:p>
    <w:p w14:paraId="52EDA0FC" w14:textId="77777777" w:rsidR="004C6C47" w:rsidRDefault="004C6C47" w:rsidP="004C6C47">
      <w:pPr>
        <w:tabs>
          <w:tab w:val="left" w:pos="360"/>
        </w:tabs>
        <w:ind w:left="360"/>
        <w:jc w:val="center"/>
        <w:rPr>
          <w:b/>
          <w:sz w:val="20"/>
          <w:szCs w:val="20"/>
          <w:u w:val="single"/>
        </w:rPr>
      </w:pPr>
    </w:p>
    <w:p w14:paraId="0145CF4C" w14:textId="77777777" w:rsidR="004C6C47" w:rsidRDefault="004C6C47" w:rsidP="004C6C47">
      <w:pPr>
        <w:tabs>
          <w:tab w:val="left" w:pos="360"/>
        </w:tabs>
        <w:ind w:left="360"/>
        <w:rPr>
          <w:sz w:val="20"/>
          <w:szCs w:val="20"/>
        </w:rPr>
      </w:pPr>
      <w:r w:rsidRPr="004C6C47">
        <w:rPr>
          <w:sz w:val="20"/>
          <w:szCs w:val="20"/>
        </w:rPr>
        <w:t>On behalf of the Offeror the individual signing certifies that:</w:t>
      </w:r>
    </w:p>
    <w:p w14:paraId="6E2E51BA" w14:textId="77777777" w:rsidR="004C6C47" w:rsidRDefault="004C6C47" w:rsidP="004C6C47">
      <w:pPr>
        <w:tabs>
          <w:tab w:val="left" w:pos="360"/>
        </w:tabs>
        <w:ind w:left="360"/>
        <w:rPr>
          <w:sz w:val="20"/>
          <w:szCs w:val="20"/>
        </w:rPr>
      </w:pPr>
    </w:p>
    <w:p w14:paraId="0202327A" w14:textId="77777777" w:rsidR="004C6C47" w:rsidRDefault="004C6C47" w:rsidP="004C6C47">
      <w:pPr>
        <w:numPr>
          <w:ilvl w:val="0"/>
          <w:numId w:val="2"/>
        </w:numPr>
        <w:tabs>
          <w:tab w:val="clear" w:pos="1080"/>
          <w:tab w:val="left" w:pos="360"/>
          <w:tab w:val="num" w:pos="720"/>
        </w:tabs>
        <w:ind w:left="720"/>
        <w:rPr>
          <w:sz w:val="20"/>
          <w:szCs w:val="20"/>
        </w:rPr>
      </w:pPr>
      <w:r>
        <w:rPr>
          <w:sz w:val="20"/>
          <w:szCs w:val="20"/>
        </w:rPr>
        <w:t>He/she is authorized to contract on behalf of the Offeror.</w:t>
      </w:r>
    </w:p>
    <w:p w14:paraId="29573289" w14:textId="77777777" w:rsidR="004C6C47" w:rsidRDefault="004C6C47" w:rsidP="004C6C47">
      <w:pPr>
        <w:numPr>
          <w:ilvl w:val="0"/>
          <w:numId w:val="2"/>
        </w:numPr>
        <w:tabs>
          <w:tab w:val="clear" w:pos="1080"/>
          <w:tab w:val="left" w:pos="360"/>
          <w:tab w:val="num" w:pos="720"/>
        </w:tabs>
        <w:ind w:left="720"/>
        <w:rPr>
          <w:sz w:val="20"/>
          <w:szCs w:val="20"/>
        </w:rPr>
      </w:pPr>
      <w:r>
        <w:rPr>
          <w:sz w:val="20"/>
          <w:szCs w:val="20"/>
        </w:rPr>
        <w:t>The Offeror is not involved in any agreement to pay money or other consideration for the execution of this agreement, other than to an employee of the Offeror.</w:t>
      </w:r>
    </w:p>
    <w:p w14:paraId="113A7ECD" w14:textId="77777777" w:rsidR="004C6C47" w:rsidRDefault="004C6C47" w:rsidP="004C6C47">
      <w:pPr>
        <w:numPr>
          <w:ilvl w:val="0"/>
          <w:numId w:val="2"/>
        </w:numPr>
        <w:tabs>
          <w:tab w:val="clear" w:pos="1080"/>
          <w:tab w:val="left" w:pos="360"/>
          <w:tab w:val="num" w:pos="720"/>
        </w:tabs>
        <w:ind w:left="720"/>
        <w:rPr>
          <w:sz w:val="20"/>
          <w:szCs w:val="20"/>
        </w:rPr>
      </w:pPr>
      <w:r>
        <w:rPr>
          <w:sz w:val="20"/>
          <w:szCs w:val="20"/>
        </w:rPr>
        <w:t>The prices in this proposal have been arrived at independently, without consultation, communication, or agreement, for the purpose of restricting competition.</w:t>
      </w:r>
    </w:p>
    <w:p w14:paraId="0C1F3E77" w14:textId="77777777" w:rsidR="004C6C47" w:rsidRDefault="004C6C47" w:rsidP="004C6C47">
      <w:pPr>
        <w:numPr>
          <w:ilvl w:val="0"/>
          <w:numId w:val="2"/>
        </w:numPr>
        <w:tabs>
          <w:tab w:val="clear" w:pos="1080"/>
          <w:tab w:val="left" w:pos="360"/>
          <w:tab w:val="num" w:pos="720"/>
        </w:tabs>
        <w:ind w:left="720"/>
        <w:rPr>
          <w:sz w:val="20"/>
          <w:szCs w:val="20"/>
        </w:rPr>
      </w:pPr>
      <w:r>
        <w:rPr>
          <w:sz w:val="20"/>
          <w:szCs w:val="20"/>
        </w:rPr>
        <w:t xml:space="preserve">The prices quoted in this proposal have not been knowingly disclosed </w:t>
      </w:r>
      <w:r w:rsidR="00C5549C">
        <w:rPr>
          <w:sz w:val="20"/>
          <w:szCs w:val="20"/>
        </w:rPr>
        <w:t>by the Offeror prior to an award to any other Offeror or potential Offeror.</w:t>
      </w:r>
    </w:p>
    <w:p w14:paraId="25AC135B" w14:textId="77777777" w:rsidR="00C5549C" w:rsidRDefault="00C5549C" w:rsidP="004C6C47">
      <w:pPr>
        <w:numPr>
          <w:ilvl w:val="0"/>
          <w:numId w:val="2"/>
        </w:numPr>
        <w:tabs>
          <w:tab w:val="clear" w:pos="1080"/>
          <w:tab w:val="left" w:pos="360"/>
          <w:tab w:val="num" w:pos="720"/>
        </w:tabs>
        <w:ind w:left="720"/>
        <w:rPr>
          <w:sz w:val="20"/>
          <w:szCs w:val="20"/>
        </w:rPr>
      </w:pPr>
      <w:r>
        <w:rPr>
          <w:sz w:val="20"/>
          <w:szCs w:val="20"/>
        </w:rPr>
        <w:t>There has been no attempt by the Offeror to discourage any potential Offeror from submitting a proposal.</w:t>
      </w:r>
    </w:p>
    <w:p w14:paraId="556F3F68" w14:textId="77777777" w:rsidR="00C5549C" w:rsidRDefault="00C5549C" w:rsidP="004C6C47">
      <w:pPr>
        <w:numPr>
          <w:ilvl w:val="0"/>
          <w:numId w:val="2"/>
        </w:numPr>
        <w:tabs>
          <w:tab w:val="clear" w:pos="1080"/>
          <w:tab w:val="left" w:pos="360"/>
          <w:tab w:val="num" w:pos="720"/>
        </w:tabs>
        <w:ind w:left="720"/>
        <w:rPr>
          <w:sz w:val="20"/>
          <w:szCs w:val="20"/>
        </w:rPr>
      </w:pPr>
      <w:r>
        <w:rPr>
          <w:sz w:val="20"/>
          <w:szCs w:val="20"/>
        </w:rPr>
        <w:t xml:space="preserve">The Offeror is a properly licensed certified public accountant, or a public accountant licensed on or before </w:t>
      </w:r>
      <w:smartTag w:uri="urn:schemas-microsoft-com:office:smarttags" w:element="date">
        <w:smartTagPr>
          <w:attr w:name="Month" w:val="12"/>
          <w:attr w:name="Day" w:val="31"/>
          <w:attr w:name="Year" w:val="1970"/>
        </w:smartTagPr>
        <w:r>
          <w:rPr>
            <w:sz w:val="20"/>
            <w:szCs w:val="20"/>
          </w:rPr>
          <w:t>December 31, 1970</w:t>
        </w:r>
      </w:smartTag>
      <w:r>
        <w:rPr>
          <w:sz w:val="20"/>
          <w:szCs w:val="20"/>
        </w:rPr>
        <w:t>.</w:t>
      </w:r>
    </w:p>
    <w:p w14:paraId="27E05F36" w14:textId="67DB9185" w:rsidR="00C5549C" w:rsidRDefault="00C5549C" w:rsidP="004C6C47">
      <w:pPr>
        <w:numPr>
          <w:ilvl w:val="0"/>
          <w:numId w:val="2"/>
        </w:numPr>
        <w:tabs>
          <w:tab w:val="clear" w:pos="1080"/>
          <w:tab w:val="left" w:pos="360"/>
          <w:tab w:val="num" w:pos="720"/>
        </w:tabs>
        <w:ind w:left="720"/>
        <w:rPr>
          <w:sz w:val="20"/>
          <w:szCs w:val="20"/>
        </w:rPr>
      </w:pPr>
      <w:r>
        <w:rPr>
          <w:sz w:val="20"/>
          <w:szCs w:val="20"/>
        </w:rPr>
        <w:t xml:space="preserve">The Offeror meets the independence standards of the Government Auditing </w:t>
      </w:r>
      <w:r w:rsidRPr="0033075D">
        <w:rPr>
          <w:sz w:val="20"/>
          <w:szCs w:val="20"/>
        </w:rPr>
        <w:t>Standards (</w:t>
      </w:r>
      <w:r w:rsidR="009639CD" w:rsidRPr="0033075D">
        <w:rPr>
          <w:sz w:val="20"/>
          <w:szCs w:val="20"/>
        </w:rPr>
        <w:t xml:space="preserve">2018 </w:t>
      </w:r>
      <w:r>
        <w:rPr>
          <w:sz w:val="20"/>
          <w:szCs w:val="20"/>
        </w:rPr>
        <w:t>Revision).</w:t>
      </w:r>
    </w:p>
    <w:p w14:paraId="65B159B4" w14:textId="77777777" w:rsidR="00C5549C" w:rsidRDefault="00C5549C" w:rsidP="004C6C47">
      <w:pPr>
        <w:numPr>
          <w:ilvl w:val="0"/>
          <w:numId w:val="2"/>
        </w:numPr>
        <w:tabs>
          <w:tab w:val="clear" w:pos="1080"/>
          <w:tab w:val="left" w:pos="360"/>
          <w:tab w:val="num" w:pos="720"/>
        </w:tabs>
        <w:ind w:left="720"/>
        <w:rPr>
          <w:sz w:val="20"/>
          <w:szCs w:val="20"/>
        </w:rPr>
      </w:pPr>
      <w:r>
        <w:rPr>
          <w:sz w:val="20"/>
          <w:szCs w:val="20"/>
        </w:rPr>
        <w:t>He/she is aware of and will comply with the GAO Continuing Education Requirement of 80 hours of continuing education every two years; and that 24 hours of the 80 hours education will be in subjects directly related to the government environment and to government auditing for individuals.</w:t>
      </w:r>
    </w:p>
    <w:p w14:paraId="5FCB4C58" w14:textId="77777777" w:rsidR="00C5549C" w:rsidRDefault="00C5549C" w:rsidP="004C6C47">
      <w:pPr>
        <w:numPr>
          <w:ilvl w:val="0"/>
          <w:numId w:val="2"/>
        </w:numPr>
        <w:tabs>
          <w:tab w:val="clear" w:pos="1080"/>
          <w:tab w:val="left" w:pos="360"/>
          <w:tab w:val="num" w:pos="720"/>
        </w:tabs>
        <w:ind w:left="720"/>
        <w:rPr>
          <w:sz w:val="20"/>
          <w:szCs w:val="20"/>
        </w:rPr>
      </w:pPr>
      <w:r>
        <w:rPr>
          <w:sz w:val="20"/>
          <w:szCs w:val="20"/>
        </w:rPr>
        <w:t>He/she is aware of and will comply with the GAO requirement of an external peer or quality review at least once every three years.</w:t>
      </w:r>
    </w:p>
    <w:p w14:paraId="153CB2C6" w14:textId="77777777" w:rsidR="00C5549C" w:rsidRDefault="00C5549C" w:rsidP="004C6C47">
      <w:pPr>
        <w:numPr>
          <w:ilvl w:val="0"/>
          <w:numId w:val="2"/>
        </w:numPr>
        <w:tabs>
          <w:tab w:val="clear" w:pos="1080"/>
          <w:tab w:val="left" w:pos="360"/>
          <w:tab w:val="num" w:pos="720"/>
        </w:tabs>
        <w:ind w:left="720"/>
        <w:rPr>
          <w:sz w:val="20"/>
          <w:szCs w:val="20"/>
        </w:rPr>
      </w:pPr>
      <w:r>
        <w:rPr>
          <w:sz w:val="20"/>
          <w:szCs w:val="20"/>
        </w:rPr>
        <w:t>He/she has read and understands the following publications relative to the proposed audit:</w:t>
      </w:r>
    </w:p>
    <w:p w14:paraId="54A3117F" w14:textId="77777777" w:rsidR="00C5549C" w:rsidRDefault="00C5549C" w:rsidP="00C5549C">
      <w:pPr>
        <w:tabs>
          <w:tab w:val="left" w:pos="360"/>
        </w:tabs>
        <w:ind w:left="360"/>
        <w:rPr>
          <w:sz w:val="20"/>
          <w:szCs w:val="20"/>
        </w:rPr>
      </w:pPr>
    </w:p>
    <w:p w14:paraId="0EE31E7D" w14:textId="313C36AB" w:rsidR="00C5549C" w:rsidRDefault="00C5549C" w:rsidP="00C5549C">
      <w:pPr>
        <w:numPr>
          <w:ilvl w:val="0"/>
          <w:numId w:val="4"/>
        </w:numPr>
        <w:tabs>
          <w:tab w:val="left" w:pos="360"/>
        </w:tabs>
        <w:rPr>
          <w:sz w:val="20"/>
          <w:szCs w:val="20"/>
        </w:rPr>
      </w:pPr>
      <w:r w:rsidRPr="00910D0F">
        <w:rPr>
          <w:sz w:val="20"/>
          <w:szCs w:val="20"/>
          <w:u w:val="single"/>
        </w:rPr>
        <w:t xml:space="preserve">Government Auditing </w:t>
      </w:r>
      <w:r w:rsidRPr="0033075D">
        <w:rPr>
          <w:sz w:val="20"/>
          <w:szCs w:val="20"/>
          <w:u w:val="single"/>
        </w:rPr>
        <w:t>Standards</w:t>
      </w:r>
      <w:r w:rsidRPr="0033075D">
        <w:rPr>
          <w:sz w:val="20"/>
          <w:szCs w:val="20"/>
        </w:rPr>
        <w:t xml:space="preserve"> (</w:t>
      </w:r>
      <w:r w:rsidR="00656E14" w:rsidRPr="0033075D">
        <w:rPr>
          <w:sz w:val="20"/>
          <w:szCs w:val="20"/>
        </w:rPr>
        <w:t xml:space="preserve">2018 </w:t>
      </w:r>
      <w:r w:rsidRPr="0033075D">
        <w:rPr>
          <w:sz w:val="20"/>
          <w:szCs w:val="20"/>
        </w:rPr>
        <w:t>Revision</w:t>
      </w:r>
      <w:r>
        <w:rPr>
          <w:sz w:val="20"/>
          <w:szCs w:val="20"/>
        </w:rPr>
        <w:t>)</w:t>
      </w:r>
    </w:p>
    <w:p w14:paraId="3A1563B9" w14:textId="77777777" w:rsidR="00C5549C" w:rsidRDefault="00C5549C" w:rsidP="00C5549C">
      <w:pPr>
        <w:numPr>
          <w:ilvl w:val="0"/>
          <w:numId w:val="4"/>
        </w:numPr>
        <w:tabs>
          <w:tab w:val="left" w:pos="360"/>
        </w:tabs>
        <w:rPr>
          <w:sz w:val="20"/>
          <w:szCs w:val="20"/>
        </w:rPr>
      </w:pPr>
      <w:r>
        <w:rPr>
          <w:sz w:val="20"/>
          <w:szCs w:val="20"/>
        </w:rPr>
        <w:t>OMB Circular A-133, “Audits of Institutions of Higher Education and other Nonpr</w:t>
      </w:r>
      <w:r w:rsidR="0053266D">
        <w:rPr>
          <w:sz w:val="20"/>
          <w:szCs w:val="20"/>
        </w:rPr>
        <w:t xml:space="preserve">ofit Organizations,” as amended in 1996, 1997, and 2003, and as further provided in the OMB Circular A-133 Compliance Supplement.” </w:t>
      </w:r>
    </w:p>
    <w:p w14:paraId="619F8087" w14:textId="77777777" w:rsidR="00C5549C" w:rsidRDefault="00C5549C" w:rsidP="00C5549C">
      <w:pPr>
        <w:numPr>
          <w:ilvl w:val="0"/>
          <w:numId w:val="4"/>
        </w:numPr>
        <w:tabs>
          <w:tab w:val="left" w:pos="360"/>
        </w:tabs>
        <w:rPr>
          <w:sz w:val="20"/>
          <w:szCs w:val="20"/>
        </w:rPr>
      </w:pPr>
      <w:r w:rsidRPr="00910D0F">
        <w:rPr>
          <w:sz w:val="20"/>
          <w:szCs w:val="20"/>
          <w:u w:val="single"/>
        </w:rPr>
        <w:t xml:space="preserve">Guidelines for Financial and Compliance Audits of Federally Assisted Programs </w:t>
      </w:r>
    </w:p>
    <w:p w14:paraId="3F12B075" w14:textId="77777777" w:rsidR="00C5549C" w:rsidRDefault="00F30506" w:rsidP="00C5549C">
      <w:pPr>
        <w:numPr>
          <w:ilvl w:val="0"/>
          <w:numId w:val="4"/>
        </w:numPr>
        <w:tabs>
          <w:tab w:val="left" w:pos="360"/>
        </w:tabs>
        <w:rPr>
          <w:sz w:val="20"/>
          <w:szCs w:val="20"/>
        </w:rPr>
      </w:pPr>
      <w:smartTag w:uri="urn:schemas-microsoft-com:office:smarttags" w:element="place">
        <w:smartTag w:uri="urn:schemas-microsoft-com:office:smarttags" w:element="country-region">
          <w:r>
            <w:rPr>
              <w:sz w:val="20"/>
              <w:szCs w:val="20"/>
            </w:rPr>
            <w:t>U.S.</w:t>
          </w:r>
        </w:smartTag>
      </w:smartTag>
      <w:r>
        <w:rPr>
          <w:sz w:val="20"/>
          <w:szCs w:val="20"/>
        </w:rPr>
        <w:t xml:space="preserve"> Department of Labor Codification</w:t>
      </w:r>
      <w:r w:rsidR="0053266D">
        <w:rPr>
          <w:sz w:val="20"/>
          <w:szCs w:val="20"/>
        </w:rPr>
        <w:t xml:space="preserve"> of the Common Rule</w:t>
      </w:r>
    </w:p>
    <w:p w14:paraId="4B08442E" w14:textId="77777777" w:rsidR="00F30506" w:rsidRDefault="00F30506" w:rsidP="00C5549C">
      <w:pPr>
        <w:numPr>
          <w:ilvl w:val="0"/>
          <w:numId w:val="4"/>
        </w:numPr>
        <w:tabs>
          <w:tab w:val="left" w:pos="360"/>
        </w:tabs>
        <w:rPr>
          <w:sz w:val="20"/>
          <w:szCs w:val="20"/>
        </w:rPr>
      </w:pPr>
      <w:r>
        <w:rPr>
          <w:sz w:val="20"/>
          <w:szCs w:val="20"/>
        </w:rPr>
        <w:t xml:space="preserve">56 </w:t>
      </w:r>
      <w:smartTag w:uri="urn:schemas-microsoft-com:office:smarttags" w:element="place">
        <w:smartTag w:uri="urn:schemas-microsoft-com:office:smarttags" w:element="State">
          <w:r>
            <w:rPr>
              <w:sz w:val="20"/>
              <w:szCs w:val="20"/>
            </w:rPr>
            <w:t>Illinois</w:t>
          </w:r>
        </w:smartTag>
      </w:smartTag>
      <w:r>
        <w:rPr>
          <w:sz w:val="20"/>
          <w:szCs w:val="20"/>
        </w:rPr>
        <w:t xml:space="preserve"> Administrative Code – Part 2600</w:t>
      </w:r>
    </w:p>
    <w:p w14:paraId="172C8416" w14:textId="77777777" w:rsidR="00F30506" w:rsidRDefault="0053266D" w:rsidP="00C5549C">
      <w:pPr>
        <w:numPr>
          <w:ilvl w:val="0"/>
          <w:numId w:val="4"/>
        </w:numPr>
        <w:tabs>
          <w:tab w:val="left" w:pos="360"/>
        </w:tabs>
        <w:rPr>
          <w:sz w:val="20"/>
          <w:szCs w:val="20"/>
        </w:rPr>
      </w:pPr>
      <w:r>
        <w:rPr>
          <w:sz w:val="20"/>
          <w:szCs w:val="20"/>
          <w:u w:val="single"/>
        </w:rPr>
        <w:t>The Appropriate AICPA Audit Guides</w:t>
      </w:r>
    </w:p>
    <w:p w14:paraId="21D3FEA2" w14:textId="77777777" w:rsidR="00F30506" w:rsidRDefault="00F30506" w:rsidP="00C5549C">
      <w:pPr>
        <w:numPr>
          <w:ilvl w:val="0"/>
          <w:numId w:val="4"/>
        </w:numPr>
        <w:tabs>
          <w:tab w:val="left" w:pos="360"/>
        </w:tabs>
        <w:rPr>
          <w:sz w:val="20"/>
          <w:szCs w:val="20"/>
        </w:rPr>
      </w:pPr>
      <w:r>
        <w:rPr>
          <w:sz w:val="20"/>
          <w:szCs w:val="20"/>
        </w:rPr>
        <w:t xml:space="preserve">OMB Circular A-110, </w:t>
      </w:r>
      <w:r w:rsidRPr="00910D0F">
        <w:rPr>
          <w:sz w:val="20"/>
          <w:szCs w:val="20"/>
          <w:u w:val="single"/>
        </w:rPr>
        <w:t>Uniform Administrative Requirements for Grants and Agreements with Institutions of Higher Education, Hospitals, and Other Nonprofit Organization</w:t>
      </w:r>
      <w:r w:rsidR="0053266D">
        <w:rPr>
          <w:sz w:val="20"/>
          <w:szCs w:val="20"/>
        </w:rPr>
        <w:t>, as amended through September 1999.</w:t>
      </w:r>
    </w:p>
    <w:p w14:paraId="5CDC60FF" w14:textId="77777777" w:rsidR="00F30506" w:rsidRDefault="00F30506" w:rsidP="00C5549C">
      <w:pPr>
        <w:numPr>
          <w:ilvl w:val="0"/>
          <w:numId w:val="4"/>
        </w:numPr>
        <w:tabs>
          <w:tab w:val="left" w:pos="360"/>
        </w:tabs>
        <w:rPr>
          <w:sz w:val="20"/>
          <w:szCs w:val="20"/>
        </w:rPr>
      </w:pPr>
      <w:r>
        <w:rPr>
          <w:sz w:val="20"/>
          <w:szCs w:val="20"/>
        </w:rPr>
        <w:t>OMB Circular A-122</w:t>
      </w:r>
      <w:r w:rsidRPr="00910D0F">
        <w:rPr>
          <w:sz w:val="20"/>
          <w:szCs w:val="20"/>
        </w:rPr>
        <w:t xml:space="preserve">, </w:t>
      </w:r>
      <w:r w:rsidRPr="00910D0F">
        <w:rPr>
          <w:sz w:val="20"/>
          <w:szCs w:val="20"/>
          <w:u w:val="single"/>
        </w:rPr>
        <w:t>Cost Principles for Nonprofit Organization</w:t>
      </w:r>
      <w:r>
        <w:rPr>
          <w:sz w:val="20"/>
          <w:szCs w:val="20"/>
        </w:rPr>
        <w:t xml:space="preserve"> (June 1980)</w:t>
      </w:r>
    </w:p>
    <w:p w14:paraId="0D81EFCE" w14:textId="77777777" w:rsidR="0053266D" w:rsidRPr="00656E14" w:rsidRDefault="0053266D" w:rsidP="00C5549C">
      <w:pPr>
        <w:numPr>
          <w:ilvl w:val="0"/>
          <w:numId w:val="4"/>
        </w:numPr>
        <w:tabs>
          <w:tab w:val="left" w:pos="360"/>
        </w:tabs>
        <w:rPr>
          <w:sz w:val="20"/>
          <w:szCs w:val="20"/>
        </w:rPr>
      </w:pPr>
      <w:r>
        <w:rPr>
          <w:sz w:val="20"/>
          <w:szCs w:val="20"/>
        </w:rPr>
        <w:t xml:space="preserve">OMB Circular A-133, </w:t>
      </w:r>
      <w:r w:rsidRPr="0053266D">
        <w:rPr>
          <w:sz w:val="20"/>
          <w:szCs w:val="20"/>
          <w:u w:val="single"/>
        </w:rPr>
        <w:t>Audits of State and Local Governments and Non-Profit Organizations</w:t>
      </w:r>
    </w:p>
    <w:p w14:paraId="79B2C29E" w14:textId="7458D9C3" w:rsidR="00656E14" w:rsidRPr="0033075D" w:rsidRDefault="00656E14" w:rsidP="00C5549C">
      <w:pPr>
        <w:numPr>
          <w:ilvl w:val="0"/>
          <w:numId w:val="4"/>
        </w:numPr>
        <w:tabs>
          <w:tab w:val="left" w:pos="360"/>
        </w:tabs>
        <w:rPr>
          <w:sz w:val="20"/>
          <w:szCs w:val="20"/>
        </w:rPr>
      </w:pPr>
      <w:r w:rsidRPr="0033075D">
        <w:rPr>
          <w:sz w:val="20"/>
          <w:szCs w:val="20"/>
        </w:rPr>
        <w:t>2 CFR 200, Subpart F (Uniform Guidance for Federal Awards – Audit Requirements)</w:t>
      </w:r>
    </w:p>
    <w:p w14:paraId="4CD96B28" w14:textId="77777777" w:rsidR="00F30506" w:rsidRDefault="00F30506" w:rsidP="00F30506">
      <w:pPr>
        <w:tabs>
          <w:tab w:val="left" w:pos="360"/>
        </w:tabs>
        <w:rPr>
          <w:sz w:val="20"/>
          <w:szCs w:val="20"/>
        </w:rPr>
      </w:pPr>
    </w:p>
    <w:p w14:paraId="4BF0B5A6" w14:textId="77777777" w:rsidR="00F30506" w:rsidRDefault="00F30506" w:rsidP="00F30506">
      <w:pPr>
        <w:tabs>
          <w:tab w:val="left" w:pos="720"/>
        </w:tabs>
        <w:ind w:left="720" w:hanging="360"/>
        <w:rPr>
          <w:sz w:val="20"/>
          <w:szCs w:val="20"/>
        </w:rPr>
      </w:pPr>
      <w:r>
        <w:rPr>
          <w:sz w:val="20"/>
          <w:szCs w:val="20"/>
        </w:rPr>
        <w:t>K.</w:t>
      </w:r>
      <w:r>
        <w:rPr>
          <w:sz w:val="20"/>
          <w:szCs w:val="20"/>
        </w:rPr>
        <w:tab/>
        <w:t>He/she has read and understands all of the information in the Request for Proposal, including the information on the programs to be audited.</w:t>
      </w:r>
    </w:p>
    <w:p w14:paraId="6C756C28" w14:textId="77777777" w:rsidR="00F30506" w:rsidRDefault="00F30506" w:rsidP="00F30506">
      <w:pPr>
        <w:tabs>
          <w:tab w:val="left" w:pos="360"/>
        </w:tabs>
        <w:rPr>
          <w:sz w:val="20"/>
          <w:szCs w:val="20"/>
        </w:rPr>
      </w:pPr>
    </w:p>
    <w:p w14:paraId="6FC325FA" w14:textId="77777777" w:rsidR="00F30506" w:rsidRDefault="00F30506" w:rsidP="00F30506">
      <w:pPr>
        <w:tabs>
          <w:tab w:val="left" w:pos="360"/>
        </w:tabs>
        <w:ind w:left="720" w:hanging="360"/>
        <w:rPr>
          <w:sz w:val="20"/>
          <w:szCs w:val="20"/>
        </w:rPr>
      </w:pPr>
      <w:r>
        <w:rPr>
          <w:sz w:val="20"/>
          <w:szCs w:val="20"/>
        </w:rPr>
        <w:t>L.</w:t>
      </w:r>
      <w:r>
        <w:rPr>
          <w:sz w:val="20"/>
          <w:szCs w:val="20"/>
        </w:rPr>
        <w:tab/>
        <w:t>The Offeror and any individuals to be assigned to the audits do not have a record of substandard audit work and has not been debarred or suspended from doing work with any federal, state or local government.  (If the Offeror or any individual to be assigned to the audits has been found in violation of any state or AICPA professional standards, this information must be disclosed).)</w:t>
      </w:r>
    </w:p>
    <w:p w14:paraId="2C94D3F1" w14:textId="77777777" w:rsidR="00F30506" w:rsidRDefault="00F30506" w:rsidP="00F30506">
      <w:pPr>
        <w:tabs>
          <w:tab w:val="left" w:pos="360"/>
        </w:tabs>
        <w:rPr>
          <w:sz w:val="20"/>
          <w:szCs w:val="20"/>
        </w:rPr>
      </w:pPr>
    </w:p>
    <w:p w14:paraId="6493A295" w14:textId="77777777" w:rsidR="00F30506" w:rsidRDefault="00F30506" w:rsidP="00F30506">
      <w:pPr>
        <w:tabs>
          <w:tab w:val="left" w:pos="360"/>
        </w:tabs>
        <w:rPr>
          <w:sz w:val="20"/>
          <w:szCs w:val="20"/>
        </w:rPr>
      </w:pPr>
      <w:r>
        <w:rPr>
          <w:sz w:val="20"/>
          <w:szCs w:val="20"/>
        </w:rPr>
        <w:tab/>
        <w:t>N.</w:t>
      </w:r>
      <w:r>
        <w:rPr>
          <w:sz w:val="20"/>
          <w:szCs w:val="20"/>
        </w:rPr>
        <w:tab/>
        <w:t xml:space="preserve">The Offeror will comply with </w:t>
      </w:r>
      <w:r w:rsidR="0053266D">
        <w:rPr>
          <w:sz w:val="20"/>
          <w:szCs w:val="20"/>
        </w:rPr>
        <w:t>applicable lobbying restrictions as established in the Code of Federal Regulations</w:t>
      </w:r>
      <w:r>
        <w:rPr>
          <w:sz w:val="20"/>
          <w:szCs w:val="20"/>
        </w:rPr>
        <w:t>.</w:t>
      </w:r>
    </w:p>
    <w:p w14:paraId="0ED12CC3" w14:textId="77777777" w:rsidR="00F30506" w:rsidRDefault="00F30506" w:rsidP="00F30506">
      <w:pPr>
        <w:tabs>
          <w:tab w:val="left" w:pos="360"/>
        </w:tabs>
        <w:rPr>
          <w:sz w:val="20"/>
          <w:szCs w:val="20"/>
        </w:rPr>
      </w:pPr>
    </w:p>
    <w:p w14:paraId="09AEE745" w14:textId="77777777" w:rsidR="00F30506" w:rsidRDefault="00F30506" w:rsidP="00F30506">
      <w:pPr>
        <w:tabs>
          <w:tab w:val="left" w:pos="36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6564"/>
      </w:tblGrid>
      <w:tr w:rsidR="002B04FB" w:rsidRPr="00257C8A" w14:paraId="49609B0B" w14:textId="77777777" w:rsidTr="00257C8A">
        <w:tc>
          <w:tcPr>
            <w:tcW w:w="3528" w:type="dxa"/>
            <w:shd w:val="clear" w:color="auto" w:fill="auto"/>
          </w:tcPr>
          <w:p w14:paraId="15EAFEE9" w14:textId="77777777" w:rsidR="002B04FB" w:rsidRPr="00257C8A" w:rsidRDefault="002B04FB" w:rsidP="00257C8A">
            <w:pPr>
              <w:tabs>
                <w:tab w:val="left" w:pos="360"/>
              </w:tabs>
              <w:rPr>
                <w:sz w:val="20"/>
                <w:szCs w:val="20"/>
              </w:rPr>
            </w:pPr>
            <w:r w:rsidRPr="00257C8A">
              <w:rPr>
                <w:sz w:val="20"/>
                <w:szCs w:val="20"/>
              </w:rPr>
              <w:t>Date:</w:t>
            </w:r>
          </w:p>
          <w:p w14:paraId="7341F700" w14:textId="77777777" w:rsidR="002B04FB" w:rsidRPr="00257C8A" w:rsidRDefault="002B04FB" w:rsidP="00257C8A">
            <w:pPr>
              <w:tabs>
                <w:tab w:val="left" w:pos="360"/>
              </w:tabs>
              <w:rPr>
                <w:sz w:val="20"/>
                <w:szCs w:val="20"/>
              </w:rPr>
            </w:pPr>
          </w:p>
          <w:p w14:paraId="44ADAA58" w14:textId="77777777" w:rsidR="002B04FB" w:rsidRPr="00257C8A" w:rsidRDefault="002B04FB" w:rsidP="00257C8A">
            <w:pPr>
              <w:tabs>
                <w:tab w:val="left" w:pos="360"/>
              </w:tabs>
              <w:rPr>
                <w:sz w:val="20"/>
                <w:szCs w:val="20"/>
              </w:rPr>
            </w:pPr>
          </w:p>
        </w:tc>
        <w:tc>
          <w:tcPr>
            <w:tcW w:w="6624" w:type="dxa"/>
            <w:shd w:val="clear" w:color="auto" w:fill="auto"/>
          </w:tcPr>
          <w:p w14:paraId="556CC8CF" w14:textId="77777777" w:rsidR="002B04FB" w:rsidRPr="00257C8A" w:rsidRDefault="002B04FB" w:rsidP="00257C8A">
            <w:pPr>
              <w:tabs>
                <w:tab w:val="left" w:pos="360"/>
              </w:tabs>
              <w:rPr>
                <w:sz w:val="20"/>
                <w:szCs w:val="20"/>
              </w:rPr>
            </w:pPr>
            <w:r w:rsidRPr="00257C8A">
              <w:rPr>
                <w:sz w:val="20"/>
                <w:szCs w:val="20"/>
              </w:rPr>
              <w:t>Offeror’s Firm Name:</w:t>
            </w:r>
          </w:p>
        </w:tc>
      </w:tr>
      <w:tr w:rsidR="002B04FB" w:rsidRPr="00257C8A" w14:paraId="42CEC176" w14:textId="77777777" w:rsidTr="00257C8A">
        <w:tc>
          <w:tcPr>
            <w:tcW w:w="3528" w:type="dxa"/>
            <w:shd w:val="clear" w:color="auto" w:fill="auto"/>
          </w:tcPr>
          <w:p w14:paraId="1A28D9C7" w14:textId="77777777" w:rsidR="002B04FB" w:rsidRPr="00257C8A" w:rsidRDefault="002B04FB" w:rsidP="00257C8A">
            <w:pPr>
              <w:tabs>
                <w:tab w:val="left" w:pos="360"/>
              </w:tabs>
              <w:rPr>
                <w:sz w:val="20"/>
                <w:szCs w:val="20"/>
              </w:rPr>
            </w:pPr>
            <w:r w:rsidRPr="00257C8A">
              <w:rPr>
                <w:sz w:val="20"/>
                <w:szCs w:val="20"/>
              </w:rPr>
              <w:t>Signature of Offeror’s Representative:</w:t>
            </w:r>
          </w:p>
          <w:p w14:paraId="2C376689" w14:textId="77777777" w:rsidR="002B04FB" w:rsidRPr="00257C8A" w:rsidRDefault="002B04FB" w:rsidP="00257C8A">
            <w:pPr>
              <w:tabs>
                <w:tab w:val="left" w:pos="360"/>
              </w:tabs>
              <w:rPr>
                <w:sz w:val="20"/>
                <w:szCs w:val="20"/>
              </w:rPr>
            </w:pPr>
          </w:p>
          <w:p w14:paraId="646554EF" w14:textId="77777777" w:rsidR="002B04FB" w:rsidRPr="00257C8A" w:rsidRDefault="002B04FB" w:rsidP="00257C8A">
            <w:pPr>
              <w:tabs>
                <w:tab w:val="left" w:pos="360"/>
              </w:tabs>
              <w:rPr>
                <w:sz w:val="20"/>
                <w:szCs w:val="20"/>
              </w:rPr>
            </w:pPr>
          </w:p>
          <w:p w14:paraId="1E783363" w14:textId="77777777" w:rsidR="002B04FB" w:rsidRPr="00257C8A" w:rsidRDefault="002B04FB" w:rsidP="00257C8A">
            <w:pPr>
              <w:tabs>
                <w:tab w:val="left" w:pos="360"/>
              </w:tabs>
              <w:rPr>
                <w:sz w:val="20"/>
                <w:szCs w:val="20"/>
              </w:rPr>
            </w:pPr>
          </w:p>
        </w:tc>
        <w:tc>
          <w:tcPr>
            <w:tcW w:w="6624" w:type="dxa"/>
            <w:shd w:val="clear" w:color="auto" w:fill="auto"/>
          </w:tcPr>
          <w:p w14:paraId="04581949" w14:textId="77777777" w:rsidR="002B04FB" w:rsidRPr="00257C8A" w:rsidRDefault="002B04FB" w:rsidP="00257C8A">
            <w:pPr>
              <w:tabs>
                <w:tab w:val="left" w:pos="360"/>
              </w:tabs>
              <w:rPr>
                <w:sz w:val="20"/>
                <w:szCs w:val="20"/>
              </w:rPr>
            </w:pPr>
            <w:r w:rsidRPr="00257C8A">
              <w:rPr>
                <w:sz w:val="20"/>
                <w:szCs w:val="20"/>
              </w:rPr>
              <w:t>Printed Name and Title of Individual Signing:</w:t>
            </w:r>
          </w:p>
        </w:tc>
      </w:tr>
    </w:tbl>
    <w:p w14:paraId="10E0B1B3" w14:textId="77777777" w:rsidR="00F30506" w:rsidRDefault="00F30506" w:rsidP="00F30506">
      <w:pPr>
        <w:tabs>
          <w:tab w:val="left" w:pos="360"/>
        </w:tabs>
        <w:ind w:left="360"/>
        <w:rPr>
          <w:sz w:val="20"/>
          <w:szCs w:val="20"/>
        </w:rPr>
      </w:pPr>
    </w:p>
    <w:p w14:paraId="4CF61A9A" w14:textId="04718C05" w:rsidR="00895F94" w:rsidRDefault="00895F94" w:rsidP="002447DE">
      <w:pPr>
        <w:tabs>
          <w:tab w:val="left" w:pos="360"/>
        </w:tabs>
      </w:pPr>
    </w:p>
    <w:sectPr w:rsidR="00895F94" w:rsidSect="00EF301C">
      <w:footerReference w:type="default" r:id="rId10"/>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891A5" w14:textId="77777777" w:rsidR="00C47A4F" w:rsidRDefault="00C47A4F">
      <w:r>
        <w:separator/>
      </w:r>
    </w:p>
  </w:endnote>
  <w:endnote w:type="continuationSeparator" w:id="0">
    <w:p w14:paraId="7E592C86" w14:textId="77777777" w:rsidR="00C47A4F" w:rsidRDefault="00C4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5247183"/>
      <w:docPartObj>
        <w:docPartGallery w:val="Page Numbers (Bottom of Page)"/>
        <w:docPartUnique/>
      </w:docPartObj>
    </w:sdtPr>
    <w:sdtEndPr>
      <w:rPr>
        <w:noProof/>
      </w:rPr>
    </w:sdtEndPr>
    <w:sdtContent>
      <w:p w14:paraId="38EDC17D" w14:textId="77777777" w:rsidR="00984BD0" w:rsidRDefault="00984B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249E9F" w14:textId="77777777" w:rsidR="00705AD7" w:rsidRDefault="00705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23F67" w14:textId="77777777" w:rsidR="00C47A4F" w:rsidRDefault="00C47A4F">
      <w:r>
        <w:separator/>
      </w:r>
    </w:p>
  </w:footnote>
  <w:footnote w:type="continuationSeparator" w:id="0">
    <w:p w14:paraId="789E2DEA" w14:textId="77777777" w:rsidR="00C47A4F" w:rsidRDefault="00C47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3A6"/>
    <w:multiLevelType w:val="hybridMultilevel"/>
    <w:tmpl w:val="EF2C18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BCC4130"/>
    <w:multiLevelType w:val="multilevel"/>
    <w:tmpl w:val="7D00E088"/>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20341412"/>
    <w:multiLevelType w:val="hybridMultilevel"/>
    <w:tmpl w:val="AC64F7F2"/>
    <w:lvl w:ilvl="0" w:tplc="0409000F">
      <w:start w:val="1"/>
      <w:numFmt w:val="decimal"/>
      <w:lvlText w:val="%1."/>
      <w:lvlJc w:val="left"/>
      <w:pPr>
        <w:tabs>
          <w:tab w:val="num" w:pos="1080"/>
        </w:tabs>
        <w:ind w:left="1080" w:hanging="360"/>
      </w:p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2BD2FEA"/>
    <w:multiLevelType w:val="hybridMultilevel"/>
    <w:tmpl w:val="213C4E02"/>
    <w:lvl w:ilvl="0" w:tplc="854C4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A553E5"/>
    <w:multiLevelType w:val="hybridMultilevel"/>
    <w:tmpl w:val="7D00E08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FC31680"/>
    <w:multiLevelType w:val="multilevel"/>
    <w:tmpl w:val="AC64F7F2"/>
    <w:lvl w:ilvl="0">
      <w:start w:val="1"/>
      <w:numFmt w:val="decimal"/>
      <w:lvlText w:val="%1."/>
      <w:lvlJc w:val="left"/>
      <w:pPr>
        <w:tabs>
          <w:tab w:val="num" w:pos="1080"/>
        </w:tabs>
        <w:ind w:left="1080" w:hanging="360"/>
      </w:pPr>
    </w:lvl>
    <w:lvl w:ilvl="1">
      <w:start w:val="1"/>
      <w:numFmt w:val="upp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514466175">
    <w:abstractNumId w:val="0"/>
  </w:num>
  <w:num w:numId="2" w16cid:durableId="1127159103">
    <w:abstractNumId w:val="4"/>
  </w:num>
  <w:num w:numId="3" w16cid:durableId="509023898">
    <w:abstractNumId w:val="1"/>
  </w:num>
  <w:num w:numId="4" w16cid:durableId="710761809">
    <w:abstractNumId w:val="2"/>
  </w:num>
  <w:num w:numId="5" w16cid:durableId="1165050175">
    <w:abstractNumId w:val="5"/>
  </w:num>
  <w:num w:numId="6" w16cid:durableId="420488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222"/>
    <w:rsid w:val="00031CDE"/>
    <w:rsid w:val="000E2727"/>
    <w:rsid w:val="000E2B02"/>
    <w:rsid w:val="00115EC0"/>
    <w:rsid w:val="00182C5F"/>
    <w:rsid w:val="001A759A"/>
    <w:rsid w:val="001D278D"/>
    <w:rsid w:val="001D39AB"/>
    <w:rsid w:val="00221F14"/>
    <w:rsid w:val="00227015"/>
    <w:rsid w:val="00240812"/>
    <w:rsid w:val="002447DE"/>
    <w:rsid w:val="00257C8A"/>
    <w:rsid w:val="00282860"/>
    <w:rsid w:val="00295FCF"/>
    <w:rsid w:val="002A59A1"/>
    <w:rsid w:val="002B04FB"/>
    <w:rsid w:val="002D7A3D"/>
    <w:rsid w:val="002E09F0"/>
    <w:rsid w:val="002E12D2"/>
    <w:rsid w:val="002F3704"/>
    <w:rsid w:val="00306E98"/>
    <w:rsid w:val="00313931"/>
    <w:rsid w:val="0033075D"/>
    <w:rsid w:val="00372F16"/>
    <w:rsid w:val="00391937"/>
    <w:rsid w:val="003E69B8"/>
    <w:rsid w:val="00404DF0"/>
    <w:rsid w:val="00420786"/>
    <w:rsid w:val="004413A5"/>
    <w:rsid w:val="00465F62"/>
    <w:rsid w:val="004C5ACA"/>
    <w:rsid w:val="004C6C47"/>
    <w:rsid w:val="004D268E"/>
    <w:rsid w:val="004D3222"/>
    <w:rsid w:val="004D4F72"/>
    <w:rsid w:val="0053266D"/>
    <w:rsid w:val="00535AAD"/>
    <w:rsid w:val="005558A1"/>
    <w:rsid w:val="005A4032"/>
    <w:rsid w:val="005A744C"/>
    <w:rsid w:val="00650BE0"/>
    <w:rsid w:val="00651D98"/>
    <w:rsid w:val="00652057"/>
    <w:rsid w:val="006559FA"/>
    <w:rsid w:val="00656E14"/>
    <w:rsid w:val="00675C12"/>
    <w:rsid w:val="006A5E8A"/>
    <w:rsid w:val="006B4F11"/>
    <w:rsid w:val="00705AD7"/>
    <w:rsid w:val="007A522D"/>
    <w:rsid w:val="007D3D4C"/>
    <w:rsid w:val="007E0572"/>
    <w:rsid w:val="007F42C9"/>
    <w:rsid w:val="0082693F"/>
    <w:rsid w:val="0082767D"/>
    <w:rsid w:val="00863486"/>
    <w:rsid w:val="00895F94"/>
    <w:rsid w:val="008E4553"/>
    <w:rsid w:val="008E5037"/>
    <w:rsid w:val="00904B61"/>
    <w:rsid w:val="00910D0F"/>
    <w:rsid w:val="0092489B"/>
    <w:rsid w:val="009639CD"/>
    <w:rsid w:val="00977CB2"/>
    <w:rsid w:val="00984BD0"/>
    <w:rsid w:val="00996B7B"/>
    <w:rsid w:val="009A494C"/>
    <w:rsid w:val="009C7528"/>
    <w:rsid w:val="009D02F9"/>
    <w:rsid w:val="00AF5C86"/>
    <w:rsid w:val="00B06DE6"/>
    <w:rsid w:val="00B10A4B"/>
    <w:rsid w:val="00B146C9"/>
    <w:rsid w:val="00B41B72"/>
    <w:rsid w:val="00B52C28"/>
    <w:rsid w:val="00B86103"/>
    <w:rsid w:val="00BA3801"/>
    <w:rsid w:val="00BA7678"/>
    <w:rsid w:val="00BB1AB8"/>
    <w:rsid w:val="00C038A5"/>
    <w:rsid w:val="00C07AEB"/>
    <w:rsid w:val="00C10858"/>
    <w:rsid w:val="00C17C20"/>
    <w:rsid w:val="00C41F1D"/>
    <w:rsid w:val="00C47A4F"/>
    <w:rsid w:val="00C53D7E"/>
    <w:rsid w:val="00C5549C"/>
    <w:rsid w:val="00C64623"/>
    <w:rsid w:val="00CD497F"/>
    <w:rsid w:val="00CE51D4"/>
    <w:rsid w:val="00D04761"/>
    <w:rsid w:val="00D21D1B"/>
    <w:rsid w:val="00D64EBB"/>
    <w:rsid w:val="00D855B4"/>
    <w:rsid w:val="00DC728C"/>
    <w:rsid w:val="00DD6312"/>
    <w:rsid w:val="00DF2DF7"/>
    <w:rsid w:val="00E07EB6"/>
    <w:rsid w:val="00E2224C"/>
    <w:rsid w:val="00E2417F"/>
    <w:rsid w:val="00E818CD"/>
    <w:rsid w:val="00E8199B"/>
    <w:rsid w:val="00EB016D"/>
    <w:rsid w:val="00EC27F8"/>
    <w:rsid w:val="00ED6B6E"/>
    <w:rsid w:val="00EE1443"/>
    <w:rsid w:val="00EF301C"/>
    <w:rsid w:val="00F26784"/>
    <w:rsid w:val="00F30506"/>
    <w:rsid w:val="00F33241"/>
    <w:rsid w:val="00F405E7"/>
    <w:rsid w:val="00FA73CA"/>
    <w:rsid w:val="00FC0141"/>
    <w:rsid w:val="00FD294B"/>
    <w:rsid w:val="00FD6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ti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5652A45"/>
  <w15:docId w15:val="{912684EB-83B8-47F8-BD08-C914A287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D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CDE"/>
    <w:pPr>
      <w:tabs>
        <w:tab w:val="center" w:pos="4320"/>
        <w:tab w:val="right" w:pos="8640"/>
      </w:tabs>
    </w:pPr>
  </w:style>
  <w:style w:type="paragraph" w:styleId="Footer">
    <w:name w:val="footer"/>
    <w:basedOn w:val="Normal"/>
    <w:link w:val="FooterChar"/>
    <w:uiPriority w:val="99"/>
    <w:rsid w:val="00031CDE"/>
    <w:pPr>
      <w:tabs>
        <w:tab w:val="center" w:pos="4320"/>
        <w:tab w:val="right" w:pos="8640"/>
      </w:tabs>
    </w:pPr>
  </w:style>
  <w:style w:type="character" w:styleId="PageNumber">
    <w:name w:val="page number"/>
    <w:basedOn w:val="DefaultParagraphFont"/>
    <w:rsid w:val="00535AAD"/>
  </w:style>
  <w:style w:type="table" w:styleId="TableGrid">
    <w:name w:val="Table Grid"/>
    <w:basedOn w:val="TableNormal"/>
    <w:rsid w:val="002B0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0572"/>
    <w:rPr>
      <w:rFonts w:ascii="Tahoma" w:hAnsi="Tahoma"/>
      <w:sz w:val="16"/>
      <w:szCs w:val="16"/>
    </w:rPr>
  </w:style>
  <w:style w:type="character" w:customStyle="1" w:styleId="BalloonTextChar">
    <w:name w:val="Balloon Text Char"/>
    <w:link w:val="BalloonText"/>
    <w:uiPriority w:val="99"/>
    <w:semiHidden/>
    <w:rsid w:val="007E0572"/>
    <w:rPr>
      <w:rFonts w:ascii="Tahoma" w:hAnsi="Tahoma" w:cs="Tahoma"/>
      <w:sz w:val="16"/>
      <w:szCs w:val="16"/>
    </w:rPr>
  </w:style>
  <w:style w:type="character" w:customStyle="1" w:styleId="FooterChar">
    <w:name w:val="Footer Char"/>
    <w:basedOn w:val="DefaultParagraphFont"/>
    <w:link w:val="Footer"/>
    <w:uiPriority w:val="99"/>
    <w:rsid w:val="00984BD0"/>
    <w:rPr>
      <w:sz w:val="24"/>
      <w:szCs w:val="24"/>
    </w:rPr>
  </w:style>
  <w:style w:type="character" w:styleId="Hyperlink">
    <w:name w:val="Hyperlink"/>
    <w:basedOn w:val="DefaultParagraphFont"/>
    <w:uiPriority w:val="99"/>
    <w:unhideWhenUsed/>
    <w:rsid w:val="00652057"/>
    <w:rPr>
      <w:color w:val="0000FF" w:themeColor="hyperlink"/>
      <w:u w:val="single"/>
    </w:rPr>
  </w:style>
  <w:style w:type="character" w:styleId="UnresolvedMention">
    <w:name w:val="Unresolved Mention"/>
    <w:basedOn w:val="DefaultParagraphFont"/>
    <w:uiPriority w:val="99"/>
    <w:semiHidden/>
    <w:unhideWhenUsed/>
    <w:rsid w:val="00652057"/>
    <w:rPr>
      <w:color w:val="605E5C"/>
      <w:shd w:val="clear" w:color="auto" w:fill="E1DFDD"/>
    </w:rPr>
  </w:style>
  <w:style w:type="paragraph" w:styleId="ListParagraph">
    <w:name w:val="List Paragraph"/>
    <w:basedOn w:val="Normal"/>
    <w:uiPriority w:val="34"/>
    <w:qFormat/>
    <w:rsid w:val="00CD4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fp-rfq@tricountyrp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fp-rfq@tricountyr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E98CB-CFDC-4EFF-99F3-C6DD7207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TRI-COUNTY REGIONAL PLANNING COMMISSION</vt:lpstr>
    </vt:vector>
  </TitlesOfParts>
  <Company>Tri-County Regional palnning Commission</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TRI-COUNTY REGIONAL PLANNING COMMISSION</dc:title>
  <dc:creator>Linda Abts</dc:creator>
  <cp:lastModifiedBy>Lori Reynolds</cp:lastModifiedBy>
  <cp:revision>8</cp:revision>
  <cp:lastPrinted>2012-03-20T21:13:00Z</cp:lastPrinted>
  <dcterms:created xsi:type="dcterms:W3CDTF">2025-01-23T22:21:00Z</dcterms:created>
  <dcterms:modified xsi:type="dcterms:W3CDTF">2025-01-28T22:19:00Z</dcterms:modified>
</cp:coreProperties>
</file>